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55A" w:rsidRPr="0069455A" w:rsidRDefault="0069455A" w:rsidP="0069455A">
      <w:pPr>
        <w:keepNext/>
        <w:spacing w:after="240" w:line="240" w:lineRule="auto"/>
        <w:jc w:val="center"/>
        <w:outlineLvl w:val="1"/>
        <w:rPr>
          <w:rFonts w:ascii="Arial" w:eastAsia="Times New Roman" w:hAnsi="Arial" w:cs="Arial"/>
          <w:b/>
          <w:bCs/>
          <w:iCs/>
          <w:snapToGrid w:val="0"/>
          <w:sz w:val="24"/>
          <w:szCs w:val="24"/>
          <w:lang w:eastAsia="ru-RU"/>
        </w:rPr>
      </w:pPr>
      <w:r w:rsidRPr="0069455A">
        <w:rPr>
          <w:rFonts w:ascii="Arial" w:eastAsia="Times New Roman" w:hAnsi="Arial" w:cs="Arial"/>
          <w:b/>
          <w:snapToGrid w:val="0"/>
          <w:sz w:val="24"/>
          <w:szCs w:val="24"/>
          <w:lang w:bidi="es-ES"/>
        </w:rPr>
        <w:t>REQUIERIMIENTOS PARA EL PROVEEDOR APLICADOS PARA LA REALIZACIÓN DE UNA ADQUISICIÓN DE BAJO COSTE</w:t>
      </w:r>
    </w:p>
    <w:p w:rsidR="0069455A" w:rsidRPr="0069455A" w:rsidRDefault="0069455A" w:rsidP="0069455A">
      <w:pPr>
        <w:spacing w:after="60" w:line="240" w:lineRule="auto"/>
        <w:jc w:val="right"/>
        <w:rPr>
          <w:rFonts w:ascii="Arial" w:eastAsia="Times New Roman" w:hAnsi="Arial" w:cs="Arial"/>
          <w:b/>
          <w:sz w:val="20"/>
          <w:szCs w:val="24"/>
          <w:lang w:eastAsia="ru-RU"/>
        </w:rPr>
      </w:pPr>
    </w:p>
    <w:tbl>
      <w:tblPr>
        <w:tblW w:w="15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
        <w:gridCol w:w="4487"/>
        <w:gridCol w:w="7087"/>
        <w:gridCol w:w="3756"/>
      </w:tblGrid>
      <w:tr w:rsidR="0069455A" w:rsidRPr="0069455A" w:rsidTr="002F607F">
        <w:trPr>
          <w:trHeight w:val="20"/>
          <w:tblHeader/>
        </w:trPr>
        <w:tc>
          <w:tcPr>
            <w:tcW w:w="390" w:type="dxa"/>
            <w:tcBorders>
              <w:top w:val="single" w:sz="12" w:space="0" w:color="auto"/>
              <w:left w:val="single" w:sz="12"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69455A" w:rsidRPr="0069455A" w:rsidRDefault="0069455A" w:rsidP="0069455A">
            <w:pPr>
              <w:spacing w:after="0" w:line="240" w:lineRule="auto"/>
              <w:jc w:val="center"/>
              <w:rPr>
                <w:rFonts w:ascii="Arial" w:eastAsia="Times New Roman" w:hAnsi="Arial" w:cs="Times New Roman"/>
                <w:b/>
                <w:caps/>
                <w:sz w:val="16"/>
                <w:szCs w:val="16"/>
                <w:lang w:eastAsia="ru-RU"/>
              </w:rPr>
            </w:pPr>
            <w:r w:rsidRPr="0069455A">
              <w:rPr>
                <w:rFonts w:ascii="Arial" w:eastAsia="Times New Roman" w:hAnsi="Arial" w:cs="Times New Roman"/>
                <w:b/>
                <w:sz w:val="16"/>
                <w:szCs w:val="16"/>
                <w:lang w:bidi="es-ES"/>
              </w:rPr>
              <w:t xml:space="preserve">n.º </w:t>
            </w:r>
          </w:p>
        </w:tc>
        <w:tc>
          <w:tcPr>
            <w:tcW w:w="44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69455A" w:rsidRPr="0069455A" w:rsidRDefault="0069455A" w:rsidP="0069455A">
            <w:pPr>
              <w:spacing w:after="0" w:line="240" w:lineRule="auto"/>
              <w:jc w:val="center"/>
              <w:rPr>
                <w:rFonts w:ascii="Arial" w:eastAsia="Times New Roman" w:hAnsi="Arial" w:cs="Times New Roman"/>
                <w:b/>
                <w:caps/>
                <w:sz w:val="16"/>
                <w:szCs w:val="16"/>
                <w:lang w:eastAsia="ru-RU"/>
              </w:rPr>
            </w:pPr>
            <w:r w:rsidRPr="0069455A">
              <w:rPr>
                <w:rFonts w:ascii="Arial" w:eastAsia="Times New Roman" w:hAnsi="Arial" w:cs="Times New Roman"/>
                <w:b/>
                <w:sz w:val="16"/>
                <w:szCs w:val="16"/>
                <w:lang w:bidi="es-ES"/>
              </w:rPr>
              <w:t>REQUIERIMIENTO</w:t>
            </w:r>
          </w:p>
        </w:tc>
        <w:tc>
          <w:tcPr>
            <w:tcW w:w="70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69455A" w:rsidRPr="0069455A" w:rsidRDefault="0069455A" w:rsidP="0069455A">
            <w:pPr>
              <w:spacing w:after="0" w:line="240" w:lineRule="auto"/>
              <w:jc w:val="center"/>
              <w:rPr>
                <w:rFonts w:ascii="Arial" w:eastAsia="Times New Roman" w:hAnsi="Arial" w:cs="Times New Roman"/>
                <w:b/>
                <w:caps/>
                <w:sz w:val="16"/>
                <w:szCs w:val="16"/>
                <w:lang w:eastAsia="ru-RU"/>
              </w:rPr>
            </w:pPr>
            <w:r w:rsidRPr="0069455A">
              <w:rPr>
                <w:rFonts w:ascii="Arial" w:eastAsia="Times New Roman" w:hAnsi="Arial" w:cs="Times New Roman"/>
                <w:b/>
                <w:sz w:val="16"/>
                <w:szCs w:val="16"/>
                <w:lang w:bidi="es-ES"/>
              </w:rPr>
              <w:t>DESCRIPCIÓN</w:t>
            </w:r>
          </w:p>
        </w:tc>
        <w:tc>
          <w:tcPr>
            <w:tcW w:w="3756" w:type="dxa"/>
            <w:tcBorders>
              <w:top w:val="single" w:sz="12" w:space="0" w:color="auto"/>
              <w:left w:val="single" w:sz="6" w:space="0" w:color="auto"/>
              <w:bottom w:val="single" w:sz="12" w:space="0" w:color="auto"/>
              <w:right w:val="single" w:sz="12" w:space="0" w:color="auto"/>
            </w:tcBorders>
            <w:shd w:val="clear" w:color="auto" w:fill="FFD200"/>
            <w:tcMar>
              <w:top w:w="57" w:type="dxa"/>
              <w:left w:w="57" w:type="dxa"/>
              <w:bottom w:w="57" w:type="dxa"/>
              <w:right w:w="57" w:type="dxa"/>
            </w:tcMar>
            <w:vAlign w:val="center"/>
          </w:tcPr>
          <w:p w:rsidR="0069455A" w:rsidRPr="0069455A" w:rsidRDefault="0069455A" w:rsidP="0069455A">
            <w:pPr>
              <w:spacing w:after="0" w:line="240" w:lineRule="auto"/>
              <w:jc w:val="center"/>
              <w:rPr>
                <w:rFonts w:ascii="Arial" w:eastAsia="Times New Roman" w:hAnsi="Arial" w:cs="Times New Roman"/>
                <w:b/>
                <w:caps/>
                <w:sz w:val="16"/>
                <w:szCs w:val="16"/>
                <w:lang w:eastAsia="ru-RU"/>
              </w:rPr>
            </w:pPr>
            <w:r w:rsidRPr="0069455A">
              <w:rPr>
                <w:rFonts w:ascii="Arial" w:eastAsia="Times New Roman" w:hAnsi="Arial" w:cs="Times New Roman"/>
                <w:b/>
                <w:sz w:val="16"/>
                <w:szCs w:val="16"/>
                <w:lang w:bidi="es-ES"/>
              </w:rPr>
              <w:t>POSIBLE RESULTADO</w:t>
            </w:r>
          </w:p>
        </w:tc>
      </w:tr>
      <w:tr w:rsidR="0069455A" w:rsidRPr="0069455A" w:rsidTr="002F607F">
        <w:trPr>
          <w:trHeight w:val="175"/>
          <w:tblHeader/>
        </w:trPr>
        <w:tc>
          <w:tcPr>
            <w:tcW w:w="390" w:type="dxa"/>
            <w:tcBorders>
              <w:top w:val="single" w:sz="12" w:space="0" w:color="auto"/>
              <w:left w:val="single" w:sz="12"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69455A" w:rsidRPr="0069455A" w:rsidRDefault="0069455A" w:rsidP="0069455A">
            <w:pPr>
              <w:spacing w:after="0" w:line="240" w:lineRule="auto"/>
              <w:jc w:val="center"/>
              <w:rPr>
                <w:rFonts w:ascii="Arial" w:eastAsia="Times New Roman" w:hAnsi="Arial" w:cs="Times New Roman"/>
                <w:b/>
                <w:caps/>
                <w:sz w:val="16"/>
                <w:szCs w:val="16"/>
                <w:lang w:eastAsia="ru-RU"/>
              </w:rPr>
            </w:pPr>
            <w:r w:rsidRPr="0069455A">
              <w:rPr>
                <w:rFonts w:ascii="Arial" w:eastAsia="Times New Roman" w:hAnsi="Arial" w:cs="Times New Roman"/>
                <w:b/>
                <w:sz w:val="16"/>
                <w:szCs w:val="16"/>
                <w:lang w:bidi="es-ES"/>
              </w:rPr>
              <w:t>1</w:t>
            </w:r>
          </w:p>
        </w:tc>
        <w:tc>
          <w:tcPr>
            <w:tcW w:w="44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69455A" w:rsidRPr="0069455A" w:rsidRDefault="0069455A" w:rsidP="0069455A">
            <w:pPr>
              <w:spacing w:after="0" w:line="240" w:lineRule="auto"/>
              <w:jc w:val="center"/>
              <w:rPr>
                <w:rFonts w:ascii="Arial" w:eastAsia="Times New Roman" w:hAnsi="Arial" w:cs="Times New Roman"/>
                <w:b/>
                <w:caps/>
                <w:sz w:val="16"/>
                <w:szCs w:val="16"/>
                <w:lang w:eastAsia="ru-RU"/>
              </w:rPr>
            </w:pPr>
            <w:r w:rsidRPr="0069455A">
              <w:rPr>
                <w:rFonts w:ascii="Arial" w:eastAsia="Times New Roman" w:hAnsi="Arial" w:cs="Times New Roman"/>
                <w:b/>
                <w:sz w:val="16"/>
                <w:szCs w:val="16"/>
                <w:lang w:bidi="es-ES"/>
              </w:rPr>
              <w:t>2</w:t>
            </w:r>
          </w:p>
        </w:tc>
        <w:tc>
          <w:tcPr>
            <w:tcW w:w="70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69455A" w:rsidRPr="0069455A" w:rsidRDefault="0069455A" w:rsidP="0069455A">
            <w:pPr>
              <w:spacing w:after="0" w:line="240" w:lineRule="auto"/>
              <w:jc w:val="center"/>
              <w:rPr>
                <w:rFonts w:ascii="Arial" w:eastAsia="Times New Roman" w:hAnsi="Arial" w:cs="Times New Roman"/>
                <w:b/>
                <w:caps/>
                <w:sz w:val="16"/>
                <w:szCs w:val="16"/>
                <w:lang w:eastAsia="ru-RU"/>
              </w:rPr>
            </w:pPr>
            <w:r w:rsidRPr="0069455A">
              <w:rPr>
                <w:rFonts w:ascii="Arial" w:eastAsia="Times New Roman" w:hAnsi="Arial" w:cs="Times New Roman"/>
                <w:b/>
                <w:sz w:val="16"/>
                <w:szCs w:val="16"/>
                <w:lang w:bidi="es-ES"/>
              </w:rPr>
              <w:t>3</w:t>
            </w:r>
          </w:p>
        </w:tc>
        <w:tc>
          <w:tcPr>
            <w:tcW w:w="3756" w:type="dxa"/>
            <w:tcBorders>
              <w:top w:val="single" w:sz="12" w:space="0" w:color="auto"/>
              <w:left w:val="single" w:sz="6" w:space="0" w:color="auto"/>
              <w:bottom w:val="single" w:sz="12" w:space="0" w:color="auto"/>
              <w:right w:val="single" w:sz="12" w:space="0" w:color="auto"/>
            </w:tcBorders>
            <w:shd w:val="clear" w:color="auto" w:fill="FFD200"/>
            <w:tcMar>
              <w:top w:w="57" w:type="dxa"/>
              <w:left w:w="57" w:type="dxa"/>
              <w:bottom w:w="57" w:type="dxa"/>
              <w:right w:w="57" w:type="dxa"/>
            </w:tcMar>
            <w:vAlign w:val="center"/>
          </w:tcPr>
          <w:p w:rsidR="0069455A" w:rsidRPr="0069455A" w:rsidRDefault="0069455A" w:rsidP="0069455A">
            <w:pPr>
              <w:spacing w:after="0" w:line="240" w:lineRule="auto"/>
              <w:jc w:val="center"/>
              <w:rPr>
                <w:rFonts w:ascii="Arial" w:eastAsia="Times New Roman" w:hAnsi="Arial" w:cs="Times New Roman"/>
                <w:b/>
                <w:caps/>
                <w:sz w:val="16"/>
                <w:szCs w:val="16"/>
                <w:lang w:eastAsia="ru-RU"/>
              </w:rPr>
            </w:pPr>
            <w:r w:rsidRPr="0069455A">
              <w:rPr>
                <w:rFonts w:ascii="Arial" w:eastAsia="Times New Roman" w:hAnsi="Arial" w:cs="Times New Roman"/>
                <w:b/>
                <w:sz w:val="16"/>
                <w:szCs w:val="16"/>
                <w:lang w:bidi="es-ES"/>
              </w:rPr>
              <w:t>4</w:t>
            </w:r>
          </w:p>
        </w:tc>
      </w:tr>
      <w:tr w:rsidR="0069455A" w:rsidRPr="0069455A" w:rsidTr="002F607F">
        <w:trPr>
          <w:trHeight w:val="20"/>
        </w:trPr>
        <w:tc>
          <w:tcPr>
            <w:tcW w:w="390" w:type="dxa"/>
            <w:tcBorders>
              <w:top w:val="single" w:sz="12"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numPr>
                <w:ilvl w:val="0"/>
                <w:numId w:val="1"/>
              </w:numPr>
              <w:spacing w:before="180" w:after="0" w:line="240" w:lineRule="auto"/>
              <w:rPr>
                <w:rFonts w:ascii="Times New Roman" w:hAnsi="Times New Roman" w:cs="Times New Roman"/>
                <w:color w:val="000000"/>
                <w:sz w:val="20"/>
                <w:szCs w:val="20"/>
                <w:lang w:eastAsia="ru-RU"/>
              </w:rPr>
            </w:pPr>
            <w:bookmarkStart w:id="0" w:name="_Ref393994114"/>
          </w:p>
        </w:tc>
        <w:bookmarkEnd w:id="0"/>
        <w:tc>
          <w:tcPr>
            <w:tcW w:w="4487" w:type="dxa"/>
            <w:tcBorders>
              <w:top w:val="single" w:sz="12"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proveedor tiene que estar dado de alta como contribuyen</w:t>
            </w:r>
            <w:bookmarkStart w:id="1" w:name="_GoBack"/>
            <w:bookmarkEnd w:id="1"/>
            <w:r w:rsidRPr="0069455A">
              <w:rPr>
                <w:rFonts w:ascii="Times New Roman" w:eastAsia="Calibri" w:hAnsi="Times New Roman" w:cs="Times New Roman"/>
                <w:sz w:val="24"/>
                <w:szCs w:val="24"/>
                <w:lang w:bidi="es-ES"/>
              </w:rPr>
              <w:t>te (dicha persona ha de estar inscrita en el Registro Estatal Único de Personas Jurídicas, o Empresarios Individuales; para los profesionales libres la persona ha de ester inscrita en el Servicio Federal de Impuesto de Rusia como contribuyente de impuesto sobre la renta por actividad profesional) y estar en posesión de todos los permisos necesarios para desarrollar actividad económica en el lugar de obra (prestación de servicio) de conformidad con la legislación de Estado en el cual se encuentra la obra y la legislación de la Federación Rusa (para los no residentes en la Federación Rusa).</w:t>
            </w:r>
          </w:p>
        </w:tc>
        <w:tc>
          <w:tcPr>
            <w:tcW w:w="7087" w:type="dxa"/>
            <w:tcBorders>
              <w:top w:val="single" w:sz="12"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spacing w:after="180" w:line="240" w:lineRule="auto"/>
              <w:jc w:val="both"/>
              <w:rPr>
                <w:rFonts w:ascii="Times New Roman" w:eastAsia="Calibri" w:hAnsi="Times New Roman" w:cs="HelveticaNeueLT Std Med"/>
                <w:bCs/>
                <w:sz w:val="24"/>
                <w:szCs w:val="24"/>
              </w:rPr>
            </w:pPr>
            <w:r w:rsidRPr="0069455A">
              <w:rPr>
                <w:rFonts w:ascii="Times New Roman" w:eastAsia="Calibri" w:hAnsi="Times New Roman" w:cs="HelveticaNeueLT Std Med"/>
                <w:sz w:val="24"/>
                <w:szCs w:val="24"/>
                <w:lang w:bidi="es-ES"/>
              </w:rPr>
              <w:t>Un proveedor potencial ha de presentar la siguiente documentación (un ejemplar):</w:t>
            </w:r>
          </w:p>
          <w:p w:rsidR="0069455A" w:rsidRPr="0069455A" w:rsidRDefault="0069455A" w:rsidP="0069455A">
            <w:pPr>
              <w:numPr>
                <w:ilvl w:val="0"/>
                <w:numId w:val="2"/>
              </w:numPr>
              <w:spacing w:before="180" w:after="0" w:line="240" w:lineRule="auto"/>
              <w:ind w:left="426" w:hanging="426"/>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Formulario de solicitud según el modelo reglamentario (Modelo 1);</w:t>
            </w:r>
          </w:p>
          <w:p w:rsidR="0069455A" w:rsidRPr="0069455A" w:rsidRDefault="0069455A" w:rsidP="0069455A">
            <w:pPr>
              <w:numPr>
                <w:ilvl w:val="0"/>
                <w:numId w:val="2"/>
              </w:numPr>
              <w:tabs>
                <w:tab w:val="left" w:pos="539"/>
              </w:tabs>
              <w:spacing w:before="180" w:after="0" w:line="240" w:lineRule="auto"/>
              <w:ind w:left="426" w:hanging="426"/>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Información sobre la cadena de propietarios, incluyendo los beneficiarios últimos (no es necesaria para empresarios individuales, personas físicas (incluyendo autónomos)), según el modelo reglamentario (Modelo 2);</w:t>
            </w:r>
          </w:p>
          <w:p w:rsidR="0069455A" w:rsidRPr="0069455A" w:rsidRDefault="0069455A" w:rsidP="0069455A">
            <w:pPr>
              <w:numPr>
                <w:ilvl w:val="0"/>
                <w:numId w:val="2"/>
              </w:numPr>
              <w:tabs>
                <w:tab w:val="left" w:pos="539"/>
              </w:tabs>
              <w:spacing w:before="180" w:after="0" w:line="240" w:lineRule="auto"/>
              <w:ind w:left="426" w:hanging="426"/>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 xml:space="preserve">Modelo reglamentario de consentimiento de tratamiento de datos personales (Modelos 3 y 4) de: </w:t>
            </w:r>
          </w:p>
          <w:p w:rsidR="0069455A" w:rsidRPr="0069455A" w:rsidRDefault="0069455A" w:rsidP="0069455A">
            <w:pPr>
              <w:numPr>
                <w:ilvl w:val="0"/>
                <w:numId w:val="3"/>
              </w:numPr>
              <w:tabs>
                <w:tab w:val="left" w:pos="539"/>
              </w:tabs>
              <w:autoSpaceDE w:val="0"/>
              <w:autoSpaceDN w:val="0"/>
              <w:adjustRightInd w:val="0"/>
              <w:spacing w:before="60" w:after="0" w:line="240" w:lineRule="auto"/>
              <w:ind w:left="567" w:hanging="397"/>
              <w:jc w:val="both"/>
              <w:rPr>
                <w:rFonts w:ascii="Times New Roman" w:hAnsi="Times New Roman" w:cs="Times New Roman"/>
                <w:color w:val="000000"/>
                <w:sz w:val="24"/>
                <w:szCs w:val="24"/>
                <w:lang w:eastAsia="ru-RU"/>
              </w:rPr>
            </w:pPr>
            <w:r w:rsidRPr="0069455A">
              <w:rPr>
                <w:rFonts w:ascii="Times New Roman" w:eastAsia="Times New Roman" w:hAnsi="Times New Roman" w:cs="Times New Roman"/>
                <w:color w:val="000000"/>
                <w:sz w:val="24"/>
                <w:szCs w:val="24"/>
                <w:lang w:bidi="es-ES"/>
              </w:rPr>
              <w:t>la persona jurídica (en relación con todas las personas físicas cuya información se presenta);</w:t>
            </w:r>
          </w:p>
          <w:p w:rsidR="0069455A" w:rsidRPr="0069455A" w:rsidRDefault="0069455A" w:rsidP="0069455A">
            <w:pPr>
              <w:numPr>
                <w:ilvl w:val="0"/>
                <w:numId w:val="3"/>
              </w:numPr>
              <w:tabs>
                <w:tab w:val="left" w:pos="539"/>
              </w:tabs>
              <w:autoSpaceDE w:val="0"/>
              <w:autoSpaceDN w:val="0"/>
              <w:adjustRightInd w:val="0"/>
              <w:spacing w:before="60" w:after="0" w:line="240" w:lineRule="auto"/>
              <w:ind w:left="567" w:hanging="397"/>
              <w:jc w:val="both"/>
              <w:rPr>
                <w:rFonts w:ascii="Times New Roman" w:hAnsi="Times New Roman" w:cs="Times New Roman"/>
                <w:color w:val="000000"/>
                <w:sz w:val="24"/>
                <w:szCs w:val="24"/>
                <w:lang w:eastAsia="ru-RU"/>
              </w:rPr>
            </w:pPr>
            <w:r w:rsidRPr="0069455A">
              <w:rPr>
                <w:rFonts w:ascii="Times New Roman" w:eastAsia="Times New Roman" w:hAnsi="Times New Roman" w:cs="Times New Roman"/>
                <w:color w:val="000000"/>
                <w:sz w:val="24"/>
                <w:szCs w:val="24"/>
                <w:lang w:bidi="es-ES"/>
              </w:rPr>
              <w:t>del órgano ejecutivo unipersonal (gerente) del Proveedor en potencia;</w:t>
            </w:r>
          </w:p>
          <w:p w:rsidR="0069455A" w:rsidRPr="0069455A" w:rsidRDefault="001C7375" w:rsidP="0069455A">
            <w:pPr>
              <w:numPr>
                <w:ilvl w:val="0"/>
                <w:numId w:val="3"/>
              </w:numPr>
              <w:tabs>
                <w:tab w:val="left" w:pos="539"/>
              </w:tabs>
              <w:autoSpaceDE w:val="0"/>
              <w:autoSpaceDN w:val="0"/>
              <w:adjustRightInd w:val="0"/>
              <w:spacing w:before="60" w:after="0" w:line="240" w:lineRule="auto"/>
              <w:ind w:left="567" w:hanging="397"/>
              <w:jc w:val="both"/>
              <w:rPr>
                <w:rFonts w:ascii="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bidi="es-ES"/>
              </w:rPr>
              <w:t>de empresario individual —</w:t>
            </w:r>
            <w:r w:rsidR="0069455A" w:rsidRPr="0069455A">
              <w:rPr>
                <w:rFonts w:ascii="Times New Roman" w:eastAsia="Times New Roman" w:hAnsi="Times New Roman" w:cs="Times New Roman"/>
                <w:color w:val="000000"/>
                <w:sz w:val="24"/>
                <w:szCs w:val="24"/>
                <w:lang w:bidi="es-ES"/>
              </w:rPr>
              <w:t xml:space="preserve"> persona física.</w:t>
            </w:r>
          </w:p>
          <w:p w:rsidR="0069455A" w:rsidRPr="0069455A" w:rsidRDefault="0069455A" w:rsidP="0069455A">
            <w:pPr>
              <w:numPr>
                <w:ilvl w:val="0"/>
                <w:numId w:val="2"/>
              </w:numPr>
              <w:tabs>
                <w:tab w:val="left" w:pos="539"/>
              </w:tabs>
              <w:spacing w:before="180" w:after="0" w:line="240" w:lineRule="auto"/>
              <w:ind w:left="426" w:hanging="426"/>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La información sobre la clasificación / no clasificación del Proveedor potencial como pequeña o mediana empresa (</w:t>
            </w:r>
            <w:r w:rsidRPr="0069455A">
              <w:rPr>
                <w:rFonts w:ascii="Times New Roman" w:eastAsia="Calibri" w:hAnsi="Times New Roman" w:cs="Times New Roman"/>
                <w:b/>
                <w:sz w:val="24"/>
                <w:szCs w:val="24"/>
                <w:lang w:bidi="es-ES"/>
              </w:rPr>
              <w:t>solamente para los residentes de la Federación Rusa</w:t>
            </w:r>
            <w:r w:rsidRPr="0069455A">
              <w:rPr>
                <w:rFonts w:ascii="Times New Roman" w:eastAsia="Calibri" w:hAnsi="Times New Roman" w:cs="Times New Roman"/>
                <w:sz w:val="24"/>
                <w:szCs w:val="24"/>
                <w:lang w:bidi="es-ES"/>
              </w:rPr>
              <w:t xml:space="preserve">) de conformidad con la Ley Federal del 24.07.2007 </w:t>
            </w:r>
            <w:r w:rsidRPr="0069455A">
              <w:rPr>
                <w:rFonts w:ascii="Times New Roman" w:eastAsia="Calibri" w:hAnsi="Times New Roman" w:cs="Times New Roman"/>
                <w:sz w:val="24"/>
                <w:szCs w:val="24"/>
                <w:lang w:bidi="es-ES"/>
              </w:rPr>
              <w:br/>
              <w:t>n.º 209-FZ «Sobre el fomento de la pequeña y mediana empresa», presentando uno de los documentos a continuación:</w:t>
            </w:r>
          </w:p>
          <w:p w:rsidR="0069455A" w:rsidRPr="0069455A" w:rsidRDefault="0069455A" w:rsidP="0069455A">
            <w:pPr>
              <w:numPr>
                <w:ilvl w:val="2"/>
                <w:numId w:val="4"/>
              </w:numPr>
              <w:tabs>
                <w:tab w:val="left" w:pos="721"/>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Modelo de declaración de no pertenecer el Proveedor potencial a la PYME, según el modelo establecido (Modelo 5), o bien</w:t>
            </w:r>
          </w:p>
          <w:p w:rsidR="0069455A" w:rsidRPr="0069455A" w:rsidRDefault="0069455A" w:rsidP="0069455A">
            <w:pPr>
              <w:numPr>
                <w:ilvl w:val="2"/>
                <w:numId w:val="5"/>
              </w:numPr>
              <w:tabs>
                <w:tab w:val="left" w:pos="721"/>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 xml:space="preserve">«Información del Registro Único de Pequeña y Mediana Empresa» (información en forma del extracto del Registro Único de Pequeñas y Medianas Empresas, que se puede descargar en: </w:t>
            </w:r>
            <w:hyperlink r:id="rId8" w:history="1">
              <w:r w:rsidRPr="0069455A">
                <w:rPr>
                  <w:rFonts w:ascii="Times New Roman" w:eastAsia="Calibri" w:hAnsi="Times New Roman" w:cs="Times New Roman"/>
                  <w:color w:val="0000FF"/>
                  <w:sz w:val="24"/>
                  <w:szCs w:val="24"/>
                  <w:u w:val="single"/>
                  <w:lang w:bidi="es-ES"/>
                </w:rPr>
                <w:t>https://rmsp.nalog.ru/</w:t>
              </w:r>
            </w:hyperlink>
            <w:r w:rsidRPr="0069455A">
              <w:rPr>
                <w:rFonts w:ascii="Times New Roman" w:eastAsia="Calibri" w:hAnsi="Times New Roman" w:cs="Times New Roman"/>
                <w:sz w:val="24"/>
                <w:szCs w:val="24"/>
                <w:lang w:bidi="es-ES"/>
              </w:rPr>
              <w:t xml:space="preserve">) emitido en el periodo no superior a 1 (uno) mes </w:t>
            </w:r>
            <w:r w:rsidRPr="001C7375">
              <w:rPr>
                <w:rFonts w:ascii="Times New Roman" w:eastAsia="Calibri" w:hAnsi="Times New Roman" w:cs="Times New Roman"/>
                <w:sz w:val="24"/>
                <w:szCs w:val="24"/>
                <w:lang w:bidi="es-ES"/>
              </w:rPr>
              <w:t>antes</w:t>
            </w:r>
            <w:r w:rsidRPr="0069455A">
              <w:rPr>
                <w:rFonts w:ascii="Times New Roman" w:eastAsia="Calibri" w:hAnsi="Times New Roman" w:cs="Times New Roman"/>
                <w:sz w:val="24"/>
                <w:szCs w:val="24"/>
                <w:lang w:bidi="es-ES"/>
              </w:rPr>
              <w:t xml:space="preserve"> de la fecha de presentación de documentos</w:t>
            </w:r>
            <w:r w:rsidRPr="0069455A">
              <w:rPr>
                <w:rFonts w:ascii="Times New Roman" w:eastAsia="Calibri" w:hAnsi="Times New Roman" w:cs="Times New Roman"/>
                <w:sz w:val="24"/>
                <w:szCs w:val="24"/>
                <w:vertAlign w:val="superscript"/>
                <w:lang w:bidi="es-ES"/>
              </w:rPr>
              <w:footnoteReference w:id="1"/>
            </w:r>
            <w:r w:rsidRPr="0069455A">
              <w:rPr>
                <w:rFonts w:ascii="Times New Roman" w:eastAsia="Calibri" w:hAnsi="Times New Roman" w:cs="Times New Roman"/>
                <w:sz w:val="24"/>
                <w:szCs w:val="24"/>
                <w:lang w:bidi="es-ES"/>
              </w:rPr>
              <w:t>.</w:t>
            </w:r>
          </w:p>
          <w:p w:rsidR="0069455A" w:rsidRPr="0069455A" w:rsidRDefault="0069455A" w:rsidP="0069455A">
            <w:pPr>
              <w:tabs>
                <w:tab w:val="left" w:pos="721"/>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o</w:t>
            </w:r>
          </w:p>
          <w:p w:rsidR="0069455A" w:rsidRPr="0069455A" w:rsidRDefault="0069455A" w:rsidP="0069455A">
            <w:pPr>
              <w:numPr>
                <w:ilvl w:val="2"/>
                <w:numId w:val="5"/>
              </w:numPr>
              <w:tabs>
                <w:tab w:val="left" w:pos="721"/>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 xml:space="preserve">en el caso de no disponibilidad de datos sobre un Proveedor potencial en el Registro Único de PYMEs, se permite presentar la Declaración de conformidad con los criterios de pequeña y mediana empresa, según el modelo establecido en el </w:t>
            </w:r>
            <w:hyperlink r:id="rId9" w:anchor="block_10100" w:history="1">
              <w:r w:rsidRPr="0069455A">
                <w:rPr>
                  <w:rFonts w:ascii="Times New Roman" w:eastAsia="Calibri" w:hAnsi="Times New Roman" w:cs="Times New Roman"/>
                  <w:sz w:val="24"/>
                  <w:szCs w:val="24"/>
                  <w:lang w:bidi="es-ES"/>
                </w:rPr>
                <w:t>Anexo</w:t>
              </w:r>
            </w:hyperlink>
            <w:r w:rsidRPr="0069455A">
              <w:rPr>
                <w:rFonts w:ascii="Times New Roman" w:eastAsia="Calibri" w:hAnsi="Times New Roman" w:cs="Times New Roman"/>
                <w:sz w:val="24"/>
                <w:szCs w:val="24"/>
                <w:lang w:bidi="es-ES"/>
              </w:rPr>
              <w:t xml:space="preserve"> a la disposición del gobierno de la Federación Rusa del 11.12.2014 </w:t>
            </w:r>
            <w:r w:rsidR="00DE71BE">
              <w:rPr>
                <w:rFonts w:ascii="Times New Roman" w:eastAsia="Calibri" w:hAnsi="Times New Roman" w:cs="Times New Roman"/>
                <w:sz w:val="24"/>
                <w:szCs w:val="24"/>
                <w:lang w:bidi="es-ES"/>
              </w:rPr>
              <w:t xml:space="preserve">n.º </w:t>
            </w:r>
            <w:r w:rsidRPr="0069455A">
              <w:rPr>
                <w:rFonts w:ascii="Times New Roman" w:eastAsia="Calibri" w:hAnsi="Times New Roman" w:cs="Times New Roman"/>
                <w:sz w:val="24"/>
                <w:szCs w:val="24"/>
                <w:lang w:bidi="es-ES"/>
              </w:rPr>
              <w:t>1352 «Sobre la participación de la pequeña y mediana empresa en la adquisición de bienes, obras y servicios para determinadas personas jurídicas».</w:t>
            </w:r>
          </w:p>
          <w:p w:rsidR="0069455A" w:rsidRPr="0069455A" w:rsidRDefault="0069455A" w:rsidP="0069455A">
            <w:pPr>
              <w:numPr>
                <w:ilvl w:val="0"/>
                <w:numId w:val="2"/>
              </w:numPr>
              <w:tabs>
                <w:tab w:val="left" w:pos="539"/>
              </w:tabs>
              <w:spacing w:before="180" w:after="0" w:line="240" w:lineRule="auto"/>
              <w:ind w:left="426" w:hanging="426"/>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Extracto del Registro Único Estatal de Personas Jurídicas (EGRYL</w:t>
            </w:r>
            <w:r w:rsidR="001C7375">
              <w:rPr>
                <w:rFonts w:ascii="Times New Roman" w:eastAsia="Calibri" w:hAnsi="Times New Roman" w:cs="Times New Roman"/>
                <w:sz w:val="24"/>
                <w:szCs w:val="24"/>
                <w:lang w:bidi="es-ES"/>
              </w:rPr>
              <w:t xml:space="preserve"> </w:t>
            </w:r>
            <w:r w:rsidRPr="0069455A">
              <w:rPr>
                <w:rFonts w:ascii="Times New Roman" w:eastAsia="Calibri" w:hAnsi="Times New Roman" w:cs="Times New Roman"/>
                <w:sz w:val="24"/>
                <w:szCs w:val="24"/>
                <w:lang w:bidi="es-ES"/>
              </w:rPr>
              <w:t>/ Registro Único Estatal de Personas Físicas (EGRIP) emitido en un plazo no superior a 1 mes desde la fecha de presentación de la documentación;</w:t>
            </w:r>
          </w:p>
          <w:p w:rsidR="0069455A" w:rsidRPr="0069455A" w:rsidRDefault="0069455A" w:rsidP="0069455A">
            <w:pPr>
              <w:numPr>
                <w:ilvl w:val="0"/>
                <w:numId w:val="2"/>
              </w:numPr>
              <w:tabs>
                <w:tab w:val="left" w:pos="539"/>
              </w:tabs>
              <w:spacing w:before="180" w:after="0" w:line="240" w:lineRule="auto"/>
              <w:ind w:left="426" w:hanging="426"/>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Copia del acta (u otro documento), certificada por el Proveedor potencial, que ratifica las facultades del órgano ejecutivo unipersonal;</w:t>
            </w:r>
          </w:p>
          <w:p w:rsidR="0069455A" w:rsidRPr="0069455A" w:rsidRDefault="0069455A" w:rsidP="0069455A">
            <w:pPr>
              <w:numPr>
                <w:ilvl w:val="0"/>
                <w:numId w:val="2"/>
              </w:numPr>
              <w:tabs>
                <w:tab w:val="left" w:pos="539"/>
              </w:tabs>
              <w:spacing w:before="180" w:after="0" w:line="240" w:lineRule="auto"/>
              <w:ind w:left="426" w:hanging="426"/>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Poder u otro documento que faculta una persona determinada para firmar documentos en nombre del Proveedor potencias;</w:t>
            </w:r>
          </w:p>
          <w:p w:rsidR="0069455A" w:rsidRPr="0069455A" w:rsidRDefault="0069455A" w:rsidP="0069455A">
            <w:pPr>
              <w:spacing w:before="120"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Todos los documentos presentados han de ser redactados en el idioma ruso o estar acompañados de su traducción correspondiente al idioma ruso.</w:t>
            </w:r>
          </w:p>
          <w:p w:rsidR="0069455A" w:rsidRPr="0069455A" w:rsidRDefault="0069455A" w:rsidP="0069455A">
            <w:pPr>
              <w:spacing w:before="120"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lang w:bidi="es-ES"/>
              </w:rPr>
              <w:t xml:space="preserve">Para la confirmación de la conformidad con los requerimientos establecidos por la presente sección, el Proveedor potencial puede presentar, como parte de la solicitud, una notificación válida a la fecha </w:t>
            </w:r>
            <w:r w:rsidRPr="0069455A">
              <w:rPr>
                <w:rFonts w:ascii="Times New Roman" w:eastAsia="Calibri" w:hAnsi="Times New Roman" w:cs="Times New Roman"/>
                <w:sz w:val="24"/>
                <w:lang w:bidi="es-ES"/>
              </w:rPr>
              <w:lastRenderedPageBreak/>
              <w:t>de la celebración del acuerdo, que confirme el resultado satisfactorio de la revisión en el contexto del principio de prudencia o acreditación, indicando los datos sobre la notificación del resultado satisfactorio de la revisión en el contexto del principio de prudencia o acreditación</w:t>
            </w:r>
            <w:r w:rsidRPr="0069455A">
              <w:rPr>
                <w:rFonts w:ascii="Times New Roman" w:eastAsia="Calibri" w:hAnsi="Times New Roman" w:cs="Times New Roman"/>
                <w:sz w:val="24"/>
                <w:vertAlign w:val="superscript"/>
                <w:lang w:bidi="es-ES"/>
              </w:rPr>
              <w:footnoteReference w:id="2"/>
            </w:r>
            <w:r w:rsidRPr="0069455A">
              <w:rPr>
                <w:rFonts w:ascii="Times New Roman" w:eastAsia="Calibri" w:hAnsi="Times New Roman" w:cs="Times New Roman"/>
                <w:sz w:val="24"/>
                <w:lang w:bidi="es-ES"/>
              </w:rPr>
              <w:t>.</w:t>
            </w:r>
          </w:p>
        </w:tc>
        <w:tc>
          <w:tcPr>
            <w:tcW w:w="3756" w:type="dxa"/>
            <w:tcBorders>
              <w:top w:val="single" w:sz="12" w:space="0" w:color="auto"/>
              <w:left w:val="single" w:sz="6" w:space="0" w:color="auto"/>
              <w:bottom w:val="single" w:sz="6" w:space="0" w:color="auto"/>
              <w:right w:val="single" w:sz="12" w:space="0" w:color="auto"/>
            </w:tcBorders>
            <w:tcMar>
              <w:top w:w="57" w:type="dxa"/>
              <w:left w:w="57" w:type="dxa"/>
              <w:bottom w:w="57" w:type="dxa"/>
              <w:right w:w="57" w:type="dxa"/>
            </w:tcMar>
          </w:tcPr>
          <w:p w:rsidR="0069455A" w:rsidRPr="0069455A" w:rsidRDefault="0069455A" w:rsidP="0069455A">
            <w:pPr>
              <w:keepNext/>
              <w:suppressAutoHyphens/>
              <w:spacing w:after="180" w:line="240" w:lineRule="auto"/>
              <w:jc w:val="both"/>
              <w:outlineLvl w:val="2"/>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lastRenderedPageBreak/>
              <w:t>No conforme: la información no está completa o la información presentada es inexacta.</w:t>
            </w:r>
          </w:p>
          <w:p w:rsidR="0069455A" w:rsidRPr="0069455A" w:rsidRDefault="0069455A" w:rsidP="0069455A">
            <w:pPr>
              <w:spacing w:before="120"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Conforme: la información presentada está completa, la exactitud de la información está confirmada por el perito profesional de seguridad.</w:t>
            </w:r>
          </w:p>
        </w:tc>
      </w:tr>
      <w:tr w:rsidR="0069455A" w:rsidRPr="0069455A" w:rsidTr="002F607F">
        <w:trPr>
          <w:trHeight w:val="20"/>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numPr>
                <w:ilvl w:val="0"/>
                <w:numId w:val="1"/>
              </w:numPr>
              <w:spacing w:before="180" w:after="0" w:line="240" w:lineRule="auto"/>
              <w:rPr>
                <w:rFonts w:ascii="Times New Roman" w:hAnsi="Times New Roman" w:cs="Times New Roman"/>
                <w:color w:val="000000"/>
                <w:sz w:val="20"/>
                <w:szCs w:val="20"/>
                <w:lang w:eastAsia="ru-RU"/>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Presentación (divulgación) de la cadena completa de propietarios, incluidos los beneficiarios últimos</w:t>
            </w:r>
            <w:r w:rsidRPr="0069455A">
              <w:rPr>
                <w:rFonts w:ascii="Times New Roman" w:eastAsia="Calibri" w:hAnsi="Times New Roman" w:cs="Times New Roman"/>
                <w:sz w:val="24"/>
                <w:szCs w:val="24"/>
                <w:vertAlign w:val="superscript"/>
                <w:lang w:bidi="es-ES"/>
              </w:rPr>
              <w:footnoteReference w:id="3"/>
            </w:r>
            <w:r w:rsidRPr="0069455A">
              <w:rPr>
                <w:rFonts w:ascii="Times New Roman" w:eastAsia="Calibri" w:hAnsi="Times New Roman" w:cs="Times New Roman"/>
                <w:sz w:val="24"/>
                <w:szCs w:val="24"/>
                <w:lang w:bidi="es-ES"/>
              </w:rPr>
              <w:t>.</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En el contexto del Modelo de presentación de datos sobre la cadena de propietarios, incluyendo los beneficiarios últimos, adjunta a dichos Requerimientos para Proveedor para el procedimiento de una adquisición de bajo coste.</w:t>
            </w:r>
          </w:p>
        </w:tc>
        <w:tc>
          <w:tcPr>
            <w:tcW w:w="3756"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69455A" w:rsidRPr="0069455A" w:rsidRDefault="0069455A" w:rsidP="0069455A">
            <w:pPr>
              <w:keepNext/>
              <w:suppressAutoHyphens/>
              <w:spacing w:after="0" w:line="240" w:lineRule="auto"/>
              <w:jc w:val="both"/>
              <w:outlineLvl w:val="2"/>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No conforme: la cadena de propietarios no está presentada por completo/los datos presentados son inexactos.</w:t>
            </w:r>
          </w:p>
          <w:p w:rsidR="0069455A" w:rsidRPr="0069455A" w:rsidRDefault="0069455A" w:rsidP="0069455A">
            <w:pPr>
              <w:keepNext/>
              <w:suppressAutoHyphens/>
              <w:spacing w:before="120" w:after="0" w:line="240" w:lineRule="auto"/>
              <w:jc w:val="both"/>
              <w:outlineLvl w:val="2"/>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Conforme: la información sobre la cadena de propietarios está presentada completamente, divulgada completamente y los datos presentados son exactos.</w:t>
            </w:r>
          </w:p>
        </w:tc>
      </w:tr>
      <w:tr w:rsidR="0069455A" w:rsidRPr="0069455A" w:rsidTr="002F607F">
        <w:trPr>
          <w:trHeight w:val="20"/>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numPr>
                <w:ilvl w:val="0"/>
                <w:numId w:val="1"/>
              </w:numPr>
              <w:spacing w:before="180" w:after="0" w:line="240" w:lineRule="auto"/>
              <w:rPr>
                <w:rFonts w:ascii="Times New Roman" w:hAnsi="Times New Roman" w:cs="Times New Roman"/>
                <w:color w:val="000000"/>
                <w:sz w:val="20"/>
                <w:szCs w:val="20"/>
                <w:lang w:eastAsia="ru-RU"/>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proveedor está incluido en el Registro de proveedores desleales. Dicho registro se mantiene de conformidad con la:</w:t>
            </w:r>
          </w:p>
          <w:p w:rsidR="0069455A" w:rsidRPr="0069455A" w:rsidRDefault="001C7375"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Pr>
                <w:rFonts w:ascii="Times New Roman" w:eastAsia="Calibri" w:hAnsi="Times New Roman" w:cs="Times New Roman"/>
                <w:sz w:val="24"/>
                <w:szCs w:val="24"/>
                <w:lang w:bidi="es-ES"/>
              </w:rPr>
              <w:t xml:space="preserve">Ley Federal </w:t>
            </w:r>
            <w:r w:rsidR="00DE71BE">
              <w:rPr>
                <w:rFonts w:ascii="Times New Roman" w:eastAsia="Calibri" w:hAnsi="Times New Roman" w:cs="Times New Roman"/>
                <w:sz w:val="24"/>
                <w:szCs w:val="24"/>
                <w:lang w:val="en-US" w:bidi="es-ES"/>
              </w:rPr>
              <w:t xml:space="preserve">n.º </w:t>
            </w:r>
            <w:r w:rsidR="0069455A" w:rsidRPr="0069455A">
              <w:rPr>
                <w:rFonts w:ascii="Times New Roman" w:eastAsia="Calibri" w:hAnsi="Times New Roman" w:cs="Times New Roman"/>
                <w:sz w:val="24"/>
                <w:szCs w:val="24"/>
                <w:lang w:bidi="es-ES"/>
              </w:rPr>
              <w:t>223-FZ de 18.07.2011 «Sobre la adquisición de bienes, obras o servicios por determinadas personas jurídicas»;</w:t>
            </w:r>
          </w:p>
          <w:p w:rsidR="0069455A" w:rsidRPr="0069455A" w:rsidRDefault="001C7375" w:rsidP="0069455A">
            <w:pPr>
              <w:numPr>
                <w:ilvl w:val="1"/>
                <w:numId w:val="7"/>
              </w:numPr>
              <w:spacing w:before="60" w:after="0" w:line="240" w:lineRule="auto"/>
              <w:ind w:left="567" w:hanging="397"/>
              <w:jc w:val="both"/>
              <w:rPr>
                <w:rFonts w:ascii="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bidi="es-ES"/>
              </w:rPr>
              <w:t xml:space="preserve">Ley Federal </w:t>
            </w:r>
            <w:r w:rsidR="00DE71BE">
              <w:rPr>
                <w:rFonts w:ascii="Times New Roman" w:eastAsia="Times New Roman" w:hAnsi="Times New Roman" w:cs="Times New Roman"/>
                <w:color w:val="000000"/>
                <w:sz w:val="24"/>
                <w:szCs w:val="24"/>
                <w:lang w:val="en-US" w:bidi="es-ES"/>
              </w:rPr>
              <w:t xml:space="preserve">n.º </w:t>
            </w:r>
            <w:r w:rsidR="0069455A" w:rsidRPr="0069455A">
              <w:rPr>
                <w:rFonts w:ascii="Times New Roman" w:eastAsia="Times New Roman" w:hAnsi="Times New Roman" w:cs="Times New Roman"/>
                <w:color w:val="000000"/>
                <w:sz w:val="24"/>
                <w:szCs w:val="24"/>
                <w:lang w:bidi="es-ES"/>
              </w:rPr>
              <w:t xml:space="preserve">44-FZ de 05.04.2013 «Sobre el sistema de contratación en el ámbito de adquisición de bienes, obras o servicios para satisfacer demanda </w:t>
            </w:r>
            <w:r w:rsidR="0069455A" w:rsidRPr="0069455A">
              <w:rPr>
                <w:rFonts w:ascii="Times New Roman" w:eastAsia="Times New Roman" w:hAnsi="Times New Roman" w:cs="Times New Roman"/>
                <w:color w:val="000000"/>
                <w:sz w:val="24"/>
                <w:szCs w:val="24"/>
                <w:lang w:bidi="es-ES"/>
              </w:rPr>
              <w:lastRenderedPageBreak/>
              <w:t>municipal o del Estado»</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lastRenderedPageBreak/>
              <w:t>A la fecha de realización de la comprobación el Proveedor no puede figurar en ninguno de los siguientes registros:</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 xml:space="preserve">Registro de proveedores desleales, según la Ley Federal </w:t>
            </w:r>
            <w:r w:rsidR="00DE71BE">
              <w:rPr>
                <w:rFonts w:ascii="Times New Roman" w:eastAsia="Calibri" w:hAnsi="Times New Roman" w:cs="Times New Roman"/>
                <w:sz w:val="24"/>
                <w:szCs w:val="24"/>
                <w:lang w:val="en-US" w:bidi="es-ES"/>
              </w:rPr>
              <w:t xml:space="preserve">n.º </w:t>
            </w:r>
            <w:r w:rsidRPr="0069455A">
              <w:rPr>
                <w:rFonts w:ascii="Times New Roman" w:eastAsia="Calibri" w:hAnsi="Times New Roman" w:cs="Times New Roman"/>
                <w:sz w:val="24"/>
                <w:szCs w:val="24"/>
                <w:lang w:bidi="es-ES"/>
              </w:rPr>
              <w:t>223-FZ de 18.07.2011 «Sobre la adquisición de bienes, obras o servicios por determinadas personas jurídicas»;</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 xml:space="preserve">Registro de Proveedores desleales, según la Ley Federal </w:t>
            </w:r>
            <w:r w:rsidR="00DE71BE">
              <w:rPr>
                <w:rFonts w:ascii="Times New Roman" w:eastAsia="Calibri" w:hAnsi="Times New Roman" w:cs="Times New Roman"/>
                <w:sz w:val="24"/>
                <w:szCs w:val="24"/>
                <w:lang w:val="en-US" w:bidi="es-ES"/>
              </w:rPr>
              <w:t xml:space="preserve">n.º </w:t>
            </w:r>
            <w:r w:rsidRPr="0069455A">
              <w:rPr>
                <w:rFonts w:ascii="Times New Roman" w:eastAsia="Calibri" w:hAnsi="Times New Roman" w:cs="Times New Roman"/>
                <w:sz w:val="24"/>
                <w:szCs w:val="24"/>
                <w:lang w:bidi="es-ES"/>
              </w:rPr>
              <w:t>44-FZ de 05.04.2013 «Sobre el sistema de contratación en el ámbito de adquisición de bienes, obras o servicios para satisfacer demanda municipal o del Estado»;</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 xml:space="preserve">La comprobación se lleva a cabo según los datos publicados en el sitio web oficial del Sistema Único de Información en el ámbito </w:t>
            </w:r>
            <w:r w:rsidRPr="0069455A">
              <w:rPr>
                <w:rFonts w:ascii="Times New Roman" w:eastAsia="Calibri" w:hAnsi="Times New Roman" w:cs="Times New Roman"/>
                <w:sz w:val="24"/>
                <w:szCs w:val="24"/>
                <w:lang w:bidi="es-ES"/>
              </w:rPr>
              <w:lastRenderedPageBreak/>
              <w:t>de adquisiciones en Internet (</w:t>
            </w:r>
            <w:hyperlink r:id="rId10" w:history="1">
              <w:r w:rsidRPr="0069455A">
                <w:rPr>
                  <w:rFonts w:ascii="Times New Roman" w:eastAsia="Calibri" w:hAnsi="Times New Roman" w:cs="Times New Roman"/>
                  <w:color w:val="0000FF"/>
                  <w:sz w:val="24"/>
                  <w:szCs w:val="24"/>
                  <w:u w:val="single"/>
                  <w:lang w:bidi="es-ES"/>
                </w:rPr>
                <w:t>http://zakupki.gov.ru</w:t>
              </w:r>
            </w:hyperlink>
            <w:r w:rsidRPr="0069455A">
              <w:rPr>
                <w:rFonts w:ascii="Times New Roman" w:eastAsia="Calibri" w:hAnsi="Times New Roman" w:cs="Times New Roman"/>
                <w:sz w:val="24"/>
                <w:szCs w:val="24"/>
                <w:lang w:bidi="es-ES"/>
              </w:rPr>
              <w:t xml:space="preserve">) </w:t>
            </w:r>
          </w:p>
        </w:tc>
        <w:tc>
          <w:tcPr>
            <w:tcW w:w="3756"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lastRenderedPageBreak/>
              <w:t xml:space="preserve">No conforme: el proveedor está incluido en el Registro de proveedores desleales. </w:t>
            </w:r>
          </w:p>
          <w:p w:rsidR="0069455A" w:rsidRPr="0069455A" w:rsidRDefault="0069455A" w:rsidP="0069455A">
            <w:pPr>
              <w:spacing w:before="120"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Conforme: el proveedor no está incluido en el Registro de proveedores desleales.</w:t>
            </w:r>
          </w:p>
        </w:tc>
      </w:tr>
      <w:tr w:rsidR="0069455A" w:rsidRPr="0069455A" w:rsidTr="002F607F">
        <w:trPr>
          <w:trHeight w:val="20"/>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numPr>
                <w:ilvl w:val="0"/>
                <w:numId w:val="1"/>
              </w:numPr>
              <w:spacing w:before="180" w:after="0" w:line="240" w:lineRule="auto"/>
              <w:rPr>
                <w:rFonts w:ascii="Times New Roman" w:hAnsi="Times New Roman" w:cs="Times New Roman"/>
                <w:color w:val="000000"/>
                <w:sz w:val="20"/>
                <w:szCs w:val="20"/>
                <w:lang w:eastAsia="ru-RU"/>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1C7375" w:rsidP="006945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bidi="es-ES"/>
              </w:rPr>
              <w:t>No liquidación del Proveedor</w:t>
            </w:r>
            <w:r w:rsidRPr="001C7375">
              <w:rPr>
                <w:rFonts w:ascii="Times New Roman" w:eastAsia="Calibri" w:hAnsi="Times New Roman" w:cs="Times New Roman"/>
                <w:sz w:val="24"/>
                <w:szCs w:val="24"/>
                <w:lang w:val="en-US" w:bidi="es-ES"/>
              </w:rPr>
              <w:t> —</w:t>
            </w:r>
            <w:r w:rsidR="0069455A" w:rsidRPr="0069455A">
              <w:rPr>
                <w:rFonts w:ascii="Times New Roman" w:eastAsia="Calibri" w:hAnsi="Times New Roman" w:cs="Times New Roman"/>
                <w:sz w:val="24"/>
                <w:szCs w:val="24"/>
                <w:lang w:bidi="es-ES"/>
              </w:rPr>
              <w:t xml:space="preserve"> persona jurídica, ausencia de cualquier auto o resolución judicial en vigor sobre el reconocimiento de la insolvencia (bancarrota) de la persona física y sobre el inicio del proceso concursal</w:t>
            </w:r>
            <w:r>
              <w:rPr>
                <w:rFonts w:ascii="Times New Roman" w:eastAsia="Calibri" w:hAnsi="Times New Roman" w:cs="Times New Roman"/>
                <w:sz w:val="24"/>
                <w:szCs w:val="24"/>
                <w:lang w:bidi="es-ES"/>
              </w:rPr>
              <w:t>; en relación con el Proveedor</w:t>
            </w:r>
            <w:r w:rsidRPr="001C7375">
              <w:rPr>
                <w:rFonts w:ascii="Times New Roman" w:eastAsia="Calibri" w:hAnsi="Times New Roman" w:cs="Times New Roman"/>
                <w:sz w:val="24"/>
                <w:szCs w:val="24"/>
                <w:lang w:val="en-US" w:bidi="es-ES"/>
              </w:rPr>
              <w:t> —</w:t>
            </w:r>
            <w:r w:rsidR="0069455A" w:rsidRPr="0069455A">
              <w:rPr>
                <w:rFonts w:ascii="Times New Roman" w:eastAsia="Calibri" w:hAnsi="Times New Roman" w:cs="Times New Roman"/>
                <w:sz w:val="24"/>
                <w:szCs w:val="24"/>
                <w:lang w:bidi="es-ES"/>
              </w:rPr>
              <w:t xml:space="preserve"> empresario individual, ausencia de caus</w:t>
            </w:r>
            <w:r>
              <w:rPr>
                <w:rFonts w:ascii="Times New Roman" w:eastAsia="Calibri" w:hAnsi="Times New Roman" w:cs="Times New Roman"/>
                <w:sz w:val="24"/>
                <w:szCs w:val="24"/>
                <w:lang w:bidi="es-ES"/>
              </w:rPr>
              <w:t xml:space="preserve">a abierta sobre la insolvencia </w:t>
            </w:r>
            <w:r w:rsidR="0069455A" w:rsidRPr="0069455A">
              <w:rPr>
                <w:rFonts w:ascii="Times New Roman" w:eastAsia="Calibri" w:hAnsi="Times New Roman" w:cs="Times New Roman"/>
                <w:sz w:val="24"/>
                <w:szCs w:val="24"/>
                <w:lang w:bidi="es-ES"/>
              </w:rPr>
              <w:t>(bancarrota) e implementación del procedimiento de venta del patrimonio del ciudadano; y/o ausencia de cualquier disposición del órgano registrador (SFI de la Federación Rusa)  sobre la próxima baja del Proveedor en el EGRYL/EGRIP como persona jurídica/empresario individual inactiva/o.</w:t>
            </w:r>
          </w:p>
          <w:p w:rsidR="0069455A" w:rsidRPr="0069455A" w:rsidRDefault="0069455A" w:rsidP="0069455A">
            <w:pPr>
              <w:spacing w:after="0" w:line="240" w:lineRule="auto"/>
              <w:jc w:val="both"/>
              <w:rPr>
                <w:rFonts w:ascii="Times New Roman" w:eastAsia="Calibri" w:hAnsi="Times New Roman" w:cs="Times New Roman"/>
                <w:sz w:val="24"/>
                <w:szCs w:val="24"/>
              </w:rPr>
            </w:pP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No puede haber disposiciones correspondientes u otros documentos que certifiquen los hechos arriba mencionados, incluyendo en los sitios web siguientes:</w:t>
            </w:r>
          </w:p>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w:t>
            </w:r>
            <w:hyperlink r:id="rId11" w:history="1">
              <w:r w:rsidRPr="0069455A">
                <w:rPr>
                  <w:rFonts w:ascii="Times New Roman" w:eastAsia="Calibri" w:hAnsi="Times New Roman" w:cs="Times New Roman"/>
                  <w:color w:val="0000FF"/>
                  <w:sz w:val="24"/>
                  <w:szCs w:val="24"/>
                  <w:u w:val="single"/>
                  <w:lang w:bidi="es-ES"/>
                </w:rPr>
                <w:t>http://www.vestnik-gosreg.ru/publ/vgr/</w:t>
              </w:r>
            </w:hyperlink>
            <w:r w:rsidRPr="0069455A">
              <w:rPr>
                <w:rFonts w:ascii="Times New Roman" w:eastAsia="Calibri" w:hAnsi="Times New Roman" w:cs="Times New Roman"/>
                <w:sz w:val="24"/>
                <w:szCs w:val="24"/>
                <w:lang w:bidi="es-ES"/>
              </w:rPr>
              <w:t>)</w:t>
            </w:r>
          </w:p>
          <w:p w:rsidR="0069455A" w:rsidRPr="0069455A" w:rsidRDefault="0069455A" w:rsidP="0069455A">
            <w:pPr>
              <w:spacing w:after="0" w:line="240" w:lineRule="auto"/>
              <w:jc w:val="both"/>
              <w:rPr>
                <w:rFonts w:ascii="Times New Roman" w:eastAsia="Calibri" w:hAnsi="Times New Roman" w:cs="Times New Roman"/>
                <w:color w:val="000000"/>
                <w:sz w:val="24"/>
                <w:szCs w:val="24"/>
              </w:rPr>
            </w:pPr>
            <w:r w:rsidRPr="0069455A">
              <w:rPr>
                <w:rFonts w:ascii="Times New Roman" w:eastAsia="Calibri" w:hAnsi="Times New Roman" w:cs="Times New Roman"/>
                <w:color w:val="000000"/>
                <w:sz w:val="24"/>
                <w:szCs w:val="24"/>
                <w:lang w:bidi="es-ES"/>
              </w:rPr>
              <w:t>(</w:t>
            </w:r>
            <w:hyperlink r:id="rId12" w:history="1">
              <w:r w:rsidRPr="0069455A">
                <w:rPr>
                  <w:rFonts w:ascii="Times New Roman" w:eastAsia="Calibri" w:hAnsi="Times New Roman" w:cs="Times New Roman"/>
                  <w:color w:val="0000FF"/>
                  <w:sz w:val="24"/>
                  <w:szCs w:val="24"/>
                  <w:u w:val="single"/>
                  <w:lang w:bidi="es-ES"/>
                </w:rPr>
                <w:t>http://www.vestnik-gosreg.ru/publ/fz83/</w:t>
              </w:r>
            </w:hyperlink>
            <w:r w:rsidRPr="0069455A">
              <w:rPr>
                <w:rFonts w:ascii="Times New Roman" w:eastAsia="Calibri" w:hAnsi="Times New Roman" w:cs="Times New Roman"/>
                <w:color w:val="000000"/>
                <w:sz w:val="24"/>
                <w:szCs w:val="24"/>
                <w:lang w:bidi="es-ES"/>
              </w:rPr>
              <w:t>)</w:t>
            </w:r>
          </w:p>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 xml:space="preserve"> (</w:t>
            </w:r>
            <w:hyperlink r:id="rId13" w:history="1">
              <w:r w:rsidRPr="0069455A">
                <w:rPr>
                  <w:rFonts w:ascii="Times New Roman" w:eastAsia="Calibri" w:hAnsi="Times New Roman" w:cs="Times New Roman"/>
                  <w:color w:val="0000FF"/>
                  <w:sz w:val="24"/>
                  <w:szCs w:val="24"/>
                  <w:u w:val="single"/>
                  <w:lang w:bidi="es-ES"/>
                </w:rPr>
                <w:t>http://kad.arbitr.ru/</w:t>
              </w:r>
            </w:hyperlink>
            <w:r w:rsidRPr="0069455A">
              <w:rPr>
                <w:rFonts w:ascii="Times New Roman" w:eastAsia="Calibri" w:hAnsi="Times New Roman" w:cs="Times New Roman"/>
                <w:sz w:val="24"/>
                <w:szCs w:val="24"/>
                <w:lang w:bidi="es-ES"/>
              </w:rPr>
              <w:t>)</w:t>
            </w:r>
          </w:p>
          <w:p w:rsidR="0069455A" w:rsidRPr="0069455A" w:rsidRDefault="0069455A" w:rsidP="0069455A">
            <w:pPr>
              <w:spacing w:before="120"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 xml:space="preserve">No puede haber disposición alguna del órgano registrador (SFI de la Federación Rusa) sobre la próxima baja en el EGRYL/EGRIP como persona jurídica/empresario individual inactiva/o. La comprobación se realiza también en las fuentes de información de acceso público en Internet (en particular, en la web </w:t>
            </w:r>
            <w:hyperlink r:id="rId14" w:history="1">
              <w:r w:rsidRPr="0069455A">
                <w:rPr>
                  <w:rFonts w:ascii="Times New Roman" w:eastAsia="Calibri" w:hAnsi="Times New Roman" w:cs="Times New Roman"/>
                  <w:color w:val="0000FF"/>
                  <w:sz w:val="24"/>
                  <w:szCs w:val="24"/>
                  <w:u w:val="single"/>
                  <w:lang w:bidi="es-ES"/>
                </w:rPr>
                <w:t>http://www.vestnik-gosreg.ru/publ/fz83</w:t>
              </w:r>
            </w:hyperlink>
            <w:r w:rsidRPr="0069455A">
              <w:rPr>
                <w:rFonts w:ascii="Times New Roman" w:eastAsia="Calibri" w:hAnsi="Times New Roman" w:cs="Times New Roman"/>
                <w:sz w:val="24"/>
                <w:szCs w:val="24"/>
                <w:lang w:bidi="es-ES"/>
              </w:rPr>
              <w:t>) y demás fuentes abiertas.</w:t>
            </w:r>
          </w:p>
        </w:tc>
        <w:tc>
          <w:tcPr>
            <w:tcW w:w="3756"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No conforme:</w:t>
            </w:r>
          </w:p>
          <w:p w:rsidR="0069455A" w:rsidRPr="0069455A" w:rsidRDefault="0069455A"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sidRPr="0069455A">
              <w:rPr>
                <w:rFonts w:ascii="Times New Roman" w:eastAsia="Calibri" w:hAnsi="Times New Roman" w:cs="Times New Roman"/>
                <w:sz w:val="24"/>
                <w:szCs w:val="24"/>
                <w:lang w:bidi="es-ES"/>
              </w:rPr>
              <w:t>la persona jurídica se encuentra involucrada en el procedimiento de liquidación / existe un auto o disposición judicial sobre la insolven</w:t>
            </w:r>
            <w:r w:rsidR="001C7375">
              <w:rPr>
                <w:rFonts w:ascii="Times New Roman" w:eastAsia="Calibri" w:hAnsi="Times New Roman" w:cs="Times New Roman"/>
                <w:sz w:val="24"/>
                <w:szCs w:val="24"/>
                <w:lang w:bidi="es-ES"/>
              </w:rPr>
              <w:t>cia (bancarrota) del Proveedor</w:t>
            </w:r>
            <w:r w:rsidR="001C7375" w:rsidRPr="001C7375">
              <w:rPr>
                <w:rFonts w:ascii="Times New Roman" w:eastAsia="Calibri" w:hAnsi="Times New Roman" w:cs="Times New Roman"/>
                <w:sz w:val="24"/>
                <w:szCs w:val="24"/>
                <w:lang w:val="en-US" w:bidi="es-ES"/>
              </w:rPr>
              <w:t> —</w:t>
            </w:r>
            <w:r w:rsidRPr="0069455A">
              <w:rPr>
                <w:rFonts w:ascii="Times New Roman" w:eastAsia="Calibri" w:hAnsi="Times New Roman" w:cs="Times New Roman"/>
                <w:sz w:val="24"/>
                <w:szCs w:val="24"/>
                <w:lang w:bidi="es-ES"/>
              </w:rPr>
              <w:t xml:space="preserve"> persona jurídica e inicio del proceso concursal; o reconocimiento de insolvencia (bancarrota) del Proveedor- empresario individual e implementación del procedimiento de venta de bienes del ciudadano.</w:t>
            </w:r>
          </w:p>
          <w:p w:rsidR="0069455A" w:rsidRPr="0069455A" w:rsidRDefault="001C7375"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bidi="es-ES"/>
              </w:rPr>
              <w:t>En relación con el Proveedor</w:t>
            </w:r>
            <w:r w:rsidRPr="001C7375">
              <w:rPr>
                <w:rFonts w:ascii="Times New Roman" w:eastAsia="Calibri" w:hAnsi="Times New Roman" w:cs="Times New Roman"/>
                <w:color w:val="000000" w:themeColor="text1"/>
                <w:sz w:val="24"/>
                <w:szCs w:val="24"/>
                <w:lang w:val="en-US" w:bidi="es-ES"/>
              </w:rPr>
              <w:t> —</w:t>
            </w:r>
            <w:r w:rsidR="0069455A" w:rsidRPr="0069455A">
              <w:rPr>
                <w:rFonts w:ascii="Times New Roman" w:eastAsia="Calibri" w:hAnsi="Times New Roman" w:cs="Times New Roman"/>
                <w:color w:val="000000" w:themeColor="text1"/>
                <w:sz w:val="24"/>
                <w:szCs w:val="24"/>
                <w:lang w:bidi="es-ES"/>
              </w:rPr>
              <w:t xml:space="preserve"> persona jurídica existe disposición del órgano registrador (SFI de la Federación Rusa) sobre la próxima baja en el EGRYL como persona jurídica inactiva;</w:t>
            </w:r>
          </w:p>
          <w:p w:rsidR="0069455A" w:rsidRPr="0069455A" w:rsidRDefault="001C7375"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bidi="es-ES"/>
              </w:rPr>
              <w:t>En relación con el Proveedor</w:t>
            </w:r>
            <w:r w:rsidRPr="001C7375">
              <w:rPr>
                <w:rFonts w:ascii="Times New Roman" w:eastAsia="Calibri" w:hAnsi="Times New Roman" w:cs="Times New Roman"/>
                <w:color w:val="000000" w:themeColor="text1"/>
                <w:sz w:val="24"/>
                <w:szCs w:val="24"/>
                <w:lang w:val="en-US" w:bidi="es-ES"/>
              </w:rPr>
              <w:t> —</w:t>
            </w:r>
            <w:r w:rsidR="0069455A" w:rsidRPr="0069455A">
              <w:rPr>
                <w:rFonts w:ascii="Times New Roman" w:eastAsia="Calibri" w:hAnsi="Times New Roman" w:cs="Times New Roman"/>
                <w:color w:val="000000" w:themeColor="text1"/>
                <w:sz w:val="24"/>
                <w:szCs w:val="24"/>
                <w:lang w:bidi="es-ES"/>
              </w:rPr>
              <w:t xml:space="preserve"> empresario individual existe disposición del órgano registrador (SFI de la Federación Rusa) sobre la próxima baja en el EGRIP como persona empresario individual inactiva/o;</w:t>
            </w:r>
          </w:p>
          <w:p w:rsidR="0069455A" w:rsidRPr="0069455A" w:rsidRDefault="0069455A"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sidRPr="0069455A">
              <w:rPr>
                <w:rFonts w:ascii="Times New Roman" w:eastAsia="Calibri" w:hAnsi="Times New Roman" w:cs="Times New Roman"/>
                <w:color w:val="000000" w:themeColor="text1"/>
                <w:sz w:val="24"/>
                <w:szCs w:val="24"/>
                <w:lang w:bidi="es-ES"/>
              </w:rPr>
              <w:t xml:space="preserve">existencia de una disposición </w:t>
            </w:r>
            <w:r w:rsidRPr="0069455A">
              <w:rPr>
                <w:rFonts w:ascii="Times New Roman" w:eastAsia="Calibri" w:hAnsi="Times New Roman" w:cs="Times New Roman"/>
                <w:color w:val="000000" w:themeColor="text1"/>
                <w:sz w:val="24"/>
                <w:szCs w:val="24"/>
                <w:lang w:bidi="es-ES"/>
              </w:rPr>
              <w:lastRenderedPageBreak/>
              <w:t>judicial vigente sobre la finalización de la actividad económica del Proveedor (persona física) en calidad de empresario individual por ejecución forzosa;</w:t>
            </w:r>
          </w:p>
          <w:p w:rsidR="0069455A" w:rsidRPr="0069455A" w:rsidRDefault="0069455A"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sidRPr="0069455A">
              <w:rPr>
                <w:rFonts w:ascii="Times New Roman" w:eastAsia="Calibri" w:hAnsi="Times New Roman" w:cs="Times New Roman"/>
                <w:color w:val="000000" w:themeColor="text1"/>
                <w:sz w:val="24"/>
                <w:szCs w:val="24"/>
                <w:lang w:bidi="es-ES"/>
              </w:rPr>
              <w:t>existencia de una sentencia judicial vigente en relación con el Proveedor (empresario individual) que lo condena en forma de privación de derecho de ejercer actividad económica durante un periodo determinado;</w:t>
            </w:r>
          </w:p>
          <w:p w:rsidR="0069455A" w:rsidRPr="0069455A" w:rsidRDefault="0069455A"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sidRPr="0069455A">
              <w:rPr>
                <w:rFonts w:ascii="Times New Roman" w:eastAsia="Calibri" w:hAnsi="Times New Roman" w:cs="Times New Roman"/>
                <w:color w:val="000000" w:themeColor="text1"/>
                <w:sz w:val="24"/>
                <w:szCs w:val="24"/>
                <w:lang w:bidi="es-ES"/>
              </w:rPr>
              <w:t>existencia de un procedimiento extrajudicial finalizado sobre la bancarrota del Proveedor (persona física).</w:t>
            </w:r>
          </w:p>
          <w:p w:rsidR="0069455A" w:rsidRPr="0069455A" w:rsidRDefault="0069455A" w:rsidP="0069455A">
            <w:pPr>
              <w:spacing w:before="120" w:after="0" w:line="240" w:lineRule="auto"/>
              <w:jc w:val="both"/>
              <w:rPr>
                <w:rFonts w:ascii="Times New Roman" w:eastAsia="Calibri" w:hAnsi="Times New Roman" w:cs="Times New Roman"/>
                <w:color w:val="000000" w:themeColor="text1"/>
                <w:sz w:val="24"/>
                <w:szCs w:val="24"/>
              </w:rPr>
            </w:pPr>
            <w:r w:rsidRPr="0069455A">
              <w:rPr>
                <w:rFonts w:ascii="Times New Roman" w:eastAsia="Calibri" w:hAnsi="Times New Roman" w:cs="Times New Roman"/>
                <w:color w:val="000000" w:themeColor="text1"/>
                <w:sz w:val="24"/>
                <w:szCs w:val="24"/>
                <w:lang w:bidi="es-ES"/>
              </w:rPr>
              <w:t>Conforme:</w:t>
            </w:r>
          </w:p>
          <w:p w:rsidR="0069455A" w:rsidRPr="0069455A" w:rsidRDefault="0069455A"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sidRPr="0069455A">
              <w:rPr>
                <w:rFonts w:ascii="Times New Roman" w:eastAsia="Calibri" w:hAnsi="Times New Roman" w:cs="Times New Roman"/>
                <w:color w:val="000000" w:themeColor="text1"/>
                <w:sz w:val="24"/>
                <w:szCs w:val="24"/>
                <w:lang w:bidi="es-ES"/>
              </w:rPr>
              <w:t>la persona jurídica no se encuentra involucrada en el procedimiento de liquidación / no existe ningún auto o disposición judicial sobre la insolven</w:t>
            </w:r>
            <w:r w:rsidR="001C7375">
              <w:rPr>
                <w:rFonts w:ascii="Times New Roman" w:eastAsia="Calibri" w:hAnsi="Times New Roman" w:cs="Times New Roman"/>
                <w:color w:val="000000" w:themeColor="text1"/>
                <w:sz w:val="24"/>
                <w:szCs w:val="24"/>
                <w:lang w:bidi="es-ES"/>
              </w:rPr>
              <w:t>cia (bancarrota) del Proveedor</w:t>
            </w:r>
            <w:r w:rsidR="001C7375" w:rsidRPr="001C7375">
              <w:rPr>
                <w:rFonts w:ascii="Times New Roman" w:eastAsia="Calibri" w:hAnsi="Times New Roman" w:cs="Times New Roman"/>
                <w:color w:val="000000" w:themeColor="text1"/>
                <w:sz w:val="24"/>
                <w:szCs w:val="24"/>
                <w:lang w:val="en-US" w:bidi="es-ES"/>
              </w:rPr>
              <w:t> —</w:t>
            </w:r>
            <w:r w:rsidRPr="0069455A">
              <w:rPr>
                <w:rFonts w:ascii="Times New Roman" w:eastAsia="Calibri" w:hAnsi="Times New Roman" w:cs="Times New Roman"/>
                <w:color w:val="000000" w:themeColor="text1"/>
                <w:sz w:val="24"/>
                <w:szCs w:val="24"/>
                <w:lang w:bidi="es-ES"/>
              </w:rPr>
              <w:t xml:space="preserve"> persona jurídica e inicio del proceso concursal; o reconocimiento de insolvencia (bancarrota) del Proveedor- empresario individual e implementación del procedimiento de venta de bienes del ciudadano;</w:t>
            </w:r>
          </w:p>
          <w:p w:rsidR="0069455A" w:rsidRPr="0069455A" w:rsidRDefault="001C7375"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bidi="es-ES"/>
              </w:rPr>
              <w:lastRenderedPageBreak/>
              <w:t>En relación con el Proveedor</w:t>
            </w:r>
            <w:r w:rsidRPr="001C7375">
              <w:rPr>
                <w:rFonts w:ascii="Times New Roman" w:eastAsia="Calibri" w:hAnsi="Times New Roman" w:cs="Times New Roman"/>
                <w:color w:val="000000" w:themeColor="text1"/>
                <w:sz w:val="24"/>
                <w:szCs w:val="24"/>
                <w:lang w:val="en-US" w:bidi="es-ES"/>
              </w:rPr>
              <w:t> —</w:t>
            </w:r>
            <w:r w:rsidR="0069455A" w:rsidRPr="0069455A">
              <w:rPr>
                <w:rFonts w:ascii="Times New Roman" w:eastAsia="Calibri" w:hAnsi="Times New Roman" w:cs="Times New Roman"/>
                <w:color w:val="000000" w:themeColor="text1"/>
                <w:sz w:val="24"/>
                <w:szCs w:val="24"/>
                <w:lang w:bidi="es-ES"/>
              </w:rPr>
              <w:t xml:space="preserve"> persona jurídica no existe disposición del órgano registrador (SFI de la Federación Rusa) sobre la próxima baja en el EGRYL como persona jurídica inactiva;</w:t>
            </w:r>
          </w:p>
          <w:p w:rsidR="0069455A" w:rsidRPr="0069455A" w:rsidRDefault="001C7375"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bidi="es-ES"/>
              </w:rPr>
              <w:t>En relación con el Proveedor</w:t>
            </w:r>
            <w:r w:rsidRPr="001C7375">
              <w:rPr>
                <w:rFonts w:ascii="Times New Roman" w:eastAsia="Calibri" w:hAnsi="Times New Roman" w:cs="Times New Roman"/>
                <w:color w:val="000000" w:themeColor="text1"/>
                <w:sz w:val="24"/>
                <w:szCs w:val="24"/>
                <w:lang w:val="en-US" w:bidi="es-ES"/>
              </w:rPr>
              <w:t> —</w:t>
            </w:r>
            <w:r w:rsidR="0069455A" w:rsidRPr="0069455A">
              <w:rPr>
                <w:rFonts w:ascii="Times New Roman" w:eastAsia="Calibri" w:hAnsi="Times New Roman" w:cs="Times New Roman"/>
                <w:color w:val="000000" w:themeColor="text1"/>
                <w:sz w:val="24"/>
                <w:szCs w:val="24"/>
                <w:lang w:bidi="es-ES"/>
              </w:rPr>
              <w:t xml:space="preserve"> empresario individual no existe disposición del órgano registrador (SFI de la Federación Rusa) sobre la próxima baja en el EGRIP como persona empresario individual inactiva/o;</w:t>
            </w:r>
          </w:p>
          <w:p w:rsidR="0069455A" w:rsidRPr="0069455A" w:rsidRDefault="0069455A"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sidRPr="0069455A">
              <w:rPr>
                <w:rFonts w:ascii="Times New Roman" w:eastAsia="Calibri" w:hAnsi="Times New Roman" w:cs="Times New Roman"/>
                <w:color w:val="000000" w:themeColor="text1"/>
                <w:sz w:val="24"/>
                <w:szCs w:val="24"/>
                <w:lang w:bidi="es-ES"/>
              </w:rPr>
              <w:t>no existe disposición judicial vigente alguna sobre la finalización de la actividad económica del Proveedor (persona física) en calidad de empresario individual por ejecución forzosa;</w:t>
            </w:r>
          </w:p>
          <w:p w:rsidR="0069455A" w:rsidRPr="0069455A" w:rsidRDefault="0069455A" w:rsidP="0069455A">
            <w:pPr>
              <w:numPr>
                <w:ilvl w:val="0"/>
                <w:numId w:val="8"/>
              </w:numPr>
              <w:spacing w:before="180" w:after="0" w:line="240" w:lineRule="auto"/>
              <w:ind w:left="227" w:hanging="227"/>
              <w:jc w:val="both"/>
              <w:rPr>
                <w:rFonts w:ascii="Times New Roman" w:eastAsia="Calibri" w:hAnsi="Times New Roman" w:cs="Times New Roman"/>
                <w:color w:val="000000" w:themeColor="text1"/>
                <w:sz w:val="24"/>
                <w:szCs w:val="24"/>
              </w:rPr>
            </w:pPr>
            <w:r w:rsidRPr="0069455A">
              <w:rPr>
                <w:rFonts w:ascii="Times New Roman" w:eastAsia="Calibri" w:hAnsi="Times New Roman" w:cs="Times New Roman"/>
                <w:color w:val="000000" w:themeColor="text1"/>
                <w:sz w:val="24"/>
                <w:szCs w:val="24"/>
                <w:lang w:bidi="es-ES"/>
              </w:rPr>
              <w:t>no existe sentencia judicial vigente alguna en relación con el Proveedor (empresario individual) que lo condena en forma de privación de derecho de ejercer actividad económica durante un periodo determinado;</w:t>
            </w:r>
          </w:p>
          <w:p w:rsidR="0069455A" w:rsidRPr="0069455A" w:rsidRDefault="0069455A" w:rsidP="0069455A">
            <w:pPr>
              <w:numPr>
                <w:ilvl w:val="0"/>
                <w:numId w:val="8"/>
              </w:numPr>
              <w:spacing w:before="180" w:after="0" w:line="240" w:lineRule="auto"/>
              <w:ind w:left="227" w:hanging="227"/>
              <w:jc w:val="both"/>
              <w:rPr>
                <w:rFonts w:ascii="Times New Roman" w:eastAsia="Calibri" w:hAnsi="Times New Roman" w:cs="Times New Roman"/>
                <w:sz w:val="24"/>
                <w:szCs w:val="24"/>
              </w:rPr>
            </w:pPr>
            <w:r w:rsidRPr="0069455A">
              <w:rPr>
                <w:rFonts w:ascii="Times New Roman" w:eastAsia="Calibri" w:hAnsi="Times New Roman" w:cs="Times New Roman"/>
                <w:color w:val="000000" w:themeColor="text1"/>
                <w:sz w:val="24"/>
                <w:szCs w:val="24"/>
                <w:lang w:bidi="es-ES"/>
              </w:rPr>
              <w:t xml:space="preserve">no existe procedimiento extrajudicial finalizado alguno </w:t>
            </w:r>
            <w:r w:rsidRPr="0069455A">
              <w:rPr>
                <w:rFonts w:ascii="Times New Roman" w:eastAsia="Calibri" w:hAnsi="Times New Roman" w:cs="Times New Roman"/>
                <w:color w:val="000000" w:themeColor="text1"/>
                <w:sz w:val="24"/>
                <w:szCs w:val="24"/>
                <w:lang w:bidi="es-ES"/>
              </w:rPr>
              <w:lastRenderedPageBreak/>
              <w:t>sobre la bancarrota del Proveedor (persona física).</w:t>
            </w:r>
          </w:p>
        </w:tc>
      </w:tr>
      <w:tr w:rsidR="0069455A" w:rsidRPr="0069455A" w:rsidTr="002F607F">
        <w:trPr>
          <w:trHeight w:val="20"/>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numPr>
                <w:ilvl w:val="0"/>
                <w:numId w:val="1"/>
              </w:numPr>
              <w:spacing w:before="180" w:after="0" w:line="240" w:lineRule="auto"/>
              <w:rPr>
                <w:rFonts w:ascii="Times New Roman" w:hAnsi="Times New Roman" w:cs="Times New Roman"/>
                <w:color w:val="000000"/>
                <w:sz w:val="20"/>
                <w:szCs w:val="20"/>
                <w:lang w:eastAsia="ru-RU"/>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spacing w:after="180" w:line="240" w:lineRule="auto"/>
              <w:contextualSpacing/>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Ausencia de cualquier sentencia judicial en vigor de condena en forma de privación de derecho de ejercer determinada actividad económica relacionada con el suministro de bienes, ejecución de obras</w:t>
            </w:r>
            <w:r w:rsidR="001C7375">
              <w:rPr>
                <w:rFonts w:ascii="Times New Roman" w:eastAsia="Calibri" w:hAnsi="Times New Roman" w:cs="Times New Roman"/>
                <w:sz w:val="24"/>
                <w:szCs w:val="24"/>
                <w:lang w:bidi="es-ES"/>
              </w:rPr>
              <w:t xml:space="preserve"> o prestación de servicios, o </w:t>
            </w:r>
            <w:r w:rsidRPr="0069455A">
              <w:rPr>
                <w:rFonts w:ascii="Times New Roman" w:eastAsia="Calibri" w:hAnsi="Times New Roman" w:cs="Times New Roman"/>
                <w:sz w:val="24"/>
                <w:szCs w:val="24"/>
                <w:lang w:bidi="es-ES"/>
              </w:rPr>
              <w:t>sobré cualquier penalización administrativa en forma de descalificación (excepto casos cuando dichas condenas/penalizaciones hayan extinguido) en relación con:</w:t>
            </w:r>
          </w:p>
          <w:p w:rsidR="0069455A" w:rsidRPr="0069455A" w:rsidRDefault="001C7375"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Pr>
                <w:rFonts w:ascii="Times New Roman" w:eastAsia="Calibri" w:hAnsi="Times New Roman" w:cs="Times New Roman"/>
                <w:sz w:val="24"/>
                <w:szCs w:val="24"/>
                <w:lang w:bidi="es-ES"/>
              </w:rPr>
              <w:t>la persona física</w:t>
            </w:r>
            <w:r w:rsidRPr="001C7375">
              <w:rPr>
                <w:rFonts w:ascii="Times New Roman" w:eastAsia="Calibri" w:hAnsi="Times New Roman" w:cs="Times New Roman"/>
                <w:sz w:val="24"/>
                <w:szCs w:val="24"/>
                <w:lang w:val="en-US" w:bidi="es-ES"/>
              </w:rPr>
              <w:t> —</w:t>
            </w:r>
            <w:r w:rsidR="0069455A" w:rsidRPr="0069455A">
              <w:rPr>
                <w:rFonts w:ascii="Times New Roman" w:eastAsia="Calibri" w:hAnsi="Times New Roman" w:cs="Times New Roman"/>
                <w:sz w:val="24"/>
                <w:szCs w:val="24"/>
                <w:lang w:bidi="es-ES"/>
              </w:rPr>
              <w:t xml:space="preserve"> propietario, incluyendo los beneficiarios últimos con derecho de disponer del más del 5 por cien del total de votos por cada acción con voto, o bien las participaciones del Proveedor que componen el capital social o anónimo;</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órgano ejecutivo unipersonal (director general, director, presidente, etc.) del Proveedor;</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empresario individual.</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9455A" w:rsidRPr="0069455A" w:rsidRDefault="001C7375" w:rsidP="0069455A">
            <w:pPr>
              <w:suppressAutoHyphens/>
              <w:autoSpaceDN w:val="0"/>
              <w:spacing w:after="0" w:line="240" w:lineRule="auto"/>
              <w:contextualSpacing/>
              <w:jc w:val="both"/>
              <w:textAlignment w:val="baseline"/>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bidi="es-ES"/>
              </w:rPr>
              <w:t>El Proveedor</w:t>
            </w:r>
            <w:r w:rsidRPr="001C7375">
              <w:rPr>
                <w:rFonts w:ascii="Times New Roman" w:eastAsia="SimSun" w:hAnsi="Times New Roman" w:cs="Times New Roman"/>
                <w:kern w:val="3"/>
                <w:sz w:val="24"/>
                <w:szCs w:val="24"/>
                <w:lang w:val="en-US" w:bidi="es-ES"/>
              </w:rPr>
              <w:t> —</w:t>
            </w:r>
            <w:r w:rsidR="0069455A" w:rsidRPr="0069455A">
              <w:rPr>
                <w:rFonts w:ascii="Times New Roman" w:eastAsia="SimSun" w:hAnsi="Times New Roman" w:cs="Times New Roman"/>
                <w:kern w:val="3"/>
                <w:sz w:val="24"/>
                <w:szCs w:val="24"/>
                <w:lang w:bidi="es-ES"/>
              </w:rPr>
              <w:t xml:space="preserve"> persona jurídica no puede figurar en ninguno de los siguientes registros del Servicio Federal de Impuestos de Rusia:</w:t>
            </w:r>
          </w:p>
          <w:p w:rsidR="0069455A" w:rsidRPr="0069455A" w:rsidRDefault="0069455A" w:rsidP="0069455A">
            <w:pPr>
              <w:numPr>
                <w:ilvl w:val="0"/>
                <w:numId w:val="9"/>
              </w:numPr>
              <w:suppressAutoHyphens/>
              <w:autoSpaceDN w:val="0"/>
              <w:spacing w:before="60" w:after="0" w:line="240" w:lineRule="auto"/>
              <w:ind w:left="567" w:hanging="397"/>
              <w:jc w:val="both"/>
              <w:textAlignment w:val="baseline"/>
              <w:rPr>
                <w:rFonts w:ascii="Times New Roman" w:eastAsia="SimSun" w:hAnsi="Times New Roman" w:cs="Mangal"/>
                <w:color w:val="0000FF"/>
                <w:sz w:val="24"/>
                <w:szCs w:val="24"/>
                <w:u w:val="single"/>
                <w:lang w:eastAsia="ru-RU"/>
              </w:rPr>
            </w:pPr>
            <w:r w:rsidRPr="0069455A">
              <w:rPr>
                <w:rFonts w:ascii="Times New Roman" w:eastAsia="SimSun" w:hAnsi="Times New Roman" w:cs="Times New Roman"/>
                <w:kern w:val="3"/>
                <w:sz w:val="24"/>
                <w:szCs w:val="24"/>
                <w:lang w:bidi="es-ES"/>
              </w:rPr>
              <w:t>«</w:t>
            </w:r>
            <w:hyperlink r:id="rId15" w:tgtFrame="_blank" w:history="1">
              <w:r w:rsidRPr="0069455A">
                <w:rPr>
                  <w:rFonts w:ascii="Times New Roman" w:eastAsia="SimSun" w:hAnsi="Times New Roman" w:cs="Times New Roman"/>
                  <w:kern w:val="3"/>
                  <w:sz w:val="24"/>
                  <w:szCs w:val="24"/>
                  <w:lang w:bidi="es-ES"/>
                </w:rPr>
                <w:t>Personas jurídicas cuyo órgano ejecutivo incluye personas descalificadas</w:t>
              </w:r>
            </w:hyperlink>
            <w:r w:rsidRPr="0069455A">
              <w:rPr>
                <w:rFonts w:ascii="Times New Roman" w:eastAsia="SimSun" w:hAnsi="Times New Roman" w:cs="Times New Roman"/>
                <w:kern w:val="3"/>
                <w:sz w:val="24"/>
                <w:szCs w:val="24"/>
                <w:lang w:bidi="es-ES"/>
              </w:rPr>
              <w:t xml:space="preserve">» </w:t>
            </w:r>
            <w:r w:rsidRPr="0069455A">
              <w:rPr>
                <w:rFonts w:ascii="Times New Roman" w:eastAsia="SimSun" w:hAnsi="Times New Roman" w:cs="Mangal"/>
                <w:color w:val="0000FF"/>
                <w:kern w:val="3"/>
                <w:sz w:val="24"/>
                <w:szCs w:val="24"/>
                <w:u w:val="single"/>
                <w:lang w:bidi="es-ES"/>
              </w:rPr>
              <w:t>(</w:t>
            </w:r>
            <w:hyperlink r:id="rId16" w:history="1">
              <w:r w:rsidRPr="0069455A">
                <w:rPr>
                  <w:rFonts w:ascii="Times New Roman" w:eastAsia="SimSun" w:hAnsi="Times New Roman" w:cs="Mangal"/>
                  <w:color w:val="0000FF"/>
                  <w:kern w:val="3"/>
                  <w:sz w:val="24"/>
                  <w:szCs w:val="24"/>
                  <w:u w:val="single"/>
                  <w:lang w:bidi="es-ES"/>
                </w:rPr>
                <w:t>https://service.nalog.ru/disfind.do</w:t>
              </w:r>
            </w:hyperlink>
            <w:r w:rsidRPr="0069455A">
              <w:rPr>
                <w:rFonts w:ascii="Times New Roman" w:eastAsia="SimSun" w:hAnsi="Times New Roman" w:cs="Mangal"/>
                <w:color w:val="0000FF"/>
                <w:kern w:val="3"/>
                <w:sz w:val="24"/>
                <w:szCs w:val="24"/>
                <w:u w:val="single"/>
                <w:lang w:bidi="es-ES"/>
              </w:rPr>
              <w:t>)</w:t>
            </w:r>
          </w:p>
          <w:p w:rsidR="0069455A" w:rsidRPr="0069455A" w:rsidRDefault="0069455A" w:rsidP="0069455A">
            <w:pPr>
              <w:widowControl w:val="0"/>
              <w:numPr>
                <w:ilvl w:val="0"/>
                <w:numId w:val="9"/>
              </w:numPr>
              <w:tabs>
                <w:tab w:val="left" w:pos="1134"/>
              </w:tabs>
              <w:spacing w:before="60" w:after="0" w:line="240" w:lineRule="auto"/>
              <w:ind w:left="567" w:hanging="397"/>
              <w:jc w:val="both"/>
              <w:rPr>
                <w:rFonts w:ascii="Times New Roman" w:hAnsi="Times New Roman" w:cs="Times New Roman"/>
                <w:color w:val="000000"/>
                <w:sz w:val="24"/>
                <w:szCs w:val="24"/>
                <w:lang w:eastAsia="ru-RU"/>
              </w:rPr>
            </w:pPr>
            <w:r w:rsidRPr="0069455A">
              <w:rPr>
                <w:rFonts w:ascii="Times New Roman" w:eastAsia="Times New Roman" w:hAnsi="Times New Roman" w:cs="Times New Roman"/>
                <w:color w:val="000000"/>
                <w:sz w:val="24"/>
                <w:szCs w:val="24"/>
                <w:lang w:bidi="es-ES"/>
              </w:rPr>
              <w:t>«Información sobre personas en relación con las cuales existen evidencias confirmadas por vía judicial de imposibilidad de participar (dirigir) en la organización» (</w:t>
            </w:r>
            <w:hyperlink r:id="rId17" w:history="1">
              <w:r w:rsidRPr="0069455A">
                <w:rPr>
                  <w:rFonts w:ascii="Times New Roman" w:eastAsia="Times New Roman" w:hAnsi="Times New Roman" w:cs="Times New Roman"/>
                  <w:color w:val="0000FF"/>
                  <w:sz w:val="24"/>
                  <w:szCs w:val="24"/>
                  <w:u w:val="single"/>
                  <w:lang w:bidi="es-ES"/>
                </w:rPr>
                <w:t>https://service.nalog.ru/svl.do</w:t>
              </w:r>
            </w:hyperlink>
            <w:r w:rsidRPr="0069455A">
              <w:rPr>
                <w:rFonts w:ascii="Times New Roman" w:eastAsia="Times New Roman" w:hAnsi="Times New Roman" w:cs="Times New Roman"/>
                <w:color w:val="000000"/>
                <w:sz w:val="24"/>
                <w:szCs w:val="24"/>
                <w:lang w:bidi="es-ES"/>
              </w:rPr>
              <w:t>)</w:t>
            </w:r>
          </w:p>
          <w:p w:rsidR="0069455A" w:rsidRPr="0069455A" w:rsidRDefault="0069455A" w:rsidP="0069455A">
            <w:pPr>
              <w:spacing w:after="180" w:line="240" w:lineRule="auto"/>
              <w:contextualSpacing/>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No puede haber sentencias judiciales correspondiente en los registros del sitio web (</w:t>
            </w:r>
            <w:hyperlink r:id="rId18" w:history="1">
              <w:r w:rsidRPr="0069455A">
                <w:rPr>
                  <w:rFonts w:ascii="Times New Roman" w:eastAsia="Calibri" w:hAnsi="Times New Roman" w:cs="Times New Roman"/>
                  <w:color w:val="0000FF"/>
                  <w:sz w:val="24"/>
                  <w:szCs w:val="24"/>
                  <w:u w:val="single"/>
                  <w:lang w:bidi="es-ES"/>
                </w:rPr>
                <w:t>http://kad.arbitr.ru/</w:t>
              </w:r>
            </w:hyperlink>
            <w:r w:rsidRPr="0069455A">
              <w:rPr>
                <w:rFonts w:ascii="Times New Roman" w:eastAsia="Calibri" w:hAnsi="Times New Roman" w:cs="Times New Roman"/>
                <w:sz w:val="24"/>
                <w:szCs w:val="24"/>
                <w:lang w:bidi="es-ES"/>
              </w:rPr>
              <w:t>) en relación con:</w:t>
            </w:r>
          </w:p>
          <w:p w:rsidR="0069455A" w:rsidRPr="0069455A" w:rsidRDefault="001C7375"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Pr>
                <w:rFonts w:ascii="Times New Roman" w:eastAsia="Calibri" w:hAnsi="Times New Roman" w:cs="Times New Roman"/>
                <w:sz w:val="24"/>
                <w:szCs w:val="24"/>
                <w:lang w:bidi="es-ES"/>
              </w:rPr>
              <w:t>la persona física</w:t>
            </w:r>
            <w:r>
              <w:rPr>
                <w:rFonts w:ascii="Times New Roman" w:eastAsia="Calibri" w:hAnsi="Times New Roman" w:cs="Times New Roman"/>
                <w:sz w:val="24"/>
                <w:szCs w:val="24"/>
                <w:lang w:val="en-US" w:bidi="es-ES"/>
              </w:rPr>
              <w:t> </w:t>
            </w:r>
            <w:r w:rsidRPr="001C7375">
              <w:rPr>
                <w:rFonts w:ascii="Times New Roman" w:eastAsia="Calibri" w:hAnsi="Times New Roman" w:cs="Times New Roman"/>
                <w:sz w:val="24"/>
                <w:szCs w:val="24"/>
                <w:lang w:val="en-US" w:bidi="es-ES"/>
              </w:rPr>
              <w:t>—</w:t>
            </w:r>
            <w:r w:rsidR="0069455A" w:rsidRPr="0069455A">
              <w:rPr>
                <w:rFonts w:ascii="Times New Roman" w:eastAsia="Calibri" w:hAnsi="Times New Roman" w:cs="Times New Roman"/>
                <w:sz w:val="24"/>
                <w:szCs w:val="24"/>
                <w:lang w:bidi="es-ES"/>
              </w:rPr>
              <w:t xml:space="preserve"> propietario, incluyendo los beneficiarios últimos con derecho de disponer del más del 5 por cien del total de votos por cada acción con voto, o bien las participaciones del Proveedor que componen el capital social o anónimo;</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órgano ejecutivo unipersonal (director general, director, presidente, etc.) del Proveedor;</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empresario individual.</w:t>
            </w:r>
          </w:p>
          <w:p w:rsidR="0069455A" w:rsidRPr="0069455A" w:rsidRDefault="0069455A" w:rsidP="0069455A">
            <w:pPr>
              <w:spacing w:before="120"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La comprobación se lleva a cabo, empleando, incluso, las fuentes de información públicas en Internen y demás fuentes de información abierta.</w:t>
            </w:r>
          </w:p>
        </w:tc>
        <w:tc>
          <w:tcPr>
            <w:tcW w:w="3756"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69455A" w:rsidRPr="0069455A" w:rsidRDefault="0069455A" w:rsidP="0069455A">
            <w:pPr>
              <w:tabs>
                <w:tab w:val="center" w:pos="4677"/>
                <w:tab w:val="right" w:pos="9355"/>
              </w:tabs>
              <w:spacing w:after="180" w:line="240" w:lineRule="auto"/>
              <w:contextualSpacing/>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No conforme: existen sentencias judiciales correspondientes y/o el Proveedor está incluido en el registro correspondiente del SFI de la Federación rusa respecto a:</w:t>
            </w:r>
          </w:p>
          <w:p w:rsidR="0069455A" w:rsidRPr="0069455A" w:rsidRDefault="00DE71BE"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Pr>
                <w:rFonts w:ascii="Times New Roman" w:eastAsia="Calibri" w:hAnsi="Times New Roman" w:cs="Times New Roman"/>
                <w:sz w:val="24"/>
                <w:szCs w:val="24"/>
                <w:lang w:bidi="es-ES"/>
              </w:rPr>
              <w:t>la persona física</w:t>
            </w:r>
            <w:r w:rsidRPr="00DE71BE">
              <w:rPr>
                <w:rFonts w:ascii="Times New Roman" w:eastAsia="Calibri" w:hAnsi="Times New Roman" w:cs="Times New Roman"/>
                <w:sz w:val="24"/>
                <w:szCs w:val="24"/>
                <w:lang w:val="en-US" w:bidi="es-ES"/>
              </w:rPr>
              <w:t> —</w:t>
            </w:r>
            <w:r w:rsidR="0069455A" w:rsidRPr="0069455A">
              <w:rPr>
                <w:rFonts w:ascii="Times New Roman" w:eastAsia="Calibri" w:hAnsi="Times New Roman" w:cs="Times New Roman"/>
                <w:sz w:val="24"/>
                <w:szCs w:val="24"/>
                <w:lang w:bidi="es-ES"/>
              </w:rPr>
              <w:t xml:space="preserve"> propietario, incluyendo los beneficiarios últimos con derecho de disponer del más del 5 por cien del total de votos por cada acción con voto, o bien las participaciones del Proveedor que componen el capital social o anónimo;</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órgano ejecutivo unipersonal (director general, director, presidente, etc.) del Proveedor;</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empresario individual.</w:t>
            </w:r>
          </w:p>
          <w:p w:rsidR="0069455A" w:rsidRPr="0069455A" w:rsidRDefault="0069455A" w:rsidP="0069455A">
            <w:pPr>
              <w:tabs>
                <w:tab w:val="center" w:pos="4677"/>
                <w:tab w:val="right" w:pos="9355"/>
              </w:tabs>
              <w:spacing w:before="120"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Conforme: no existen sentencias judiciales correspondientes y/o el Proveedor no está incluido en el registro correspondiente del SFI de la Federación rusa respecto a:</w:t>
            </w:r>
          </w:p>
          <w:p w:rsidR="0069455A" w:rsidRPr="0069455A" w:rsidRDefault="00DE71BE"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Pr>
                <w:rFonts w:ascii="Times New Roman" w:eastAsia="Calibri" w:hAnsi="Times New Roman" w:cs="Times New Roman"/>
                <w:sz w:val="24"/>
                <w:szCs w:val="24"/>
                <w:lang w:bidi="es-ES"/>
              </w:rPr>
              <w:t>la persona física</w:t>
            </w:r>
            <w:r w:rsidRPr="00DE71BE">
              <w:rPr>
                <w:rFonts w:ascii="Times New Roman" w:eastAsia="Calibri" w:hAnsi="Times New Roman" w:cs="Times New Roman"/>
                <w:sz w:val="24"/>
                <w:szCs w:val="24"/>
                <w:lang w:val="en-US" w:bidi="es-ES"/>
              </w:rPr>
              <w:t> —</w:t>
            </w:r>
            <w:r w:rsidR="0069455A" w:rsidRPr="0069455A">
              <w:rPr>
                <w:rFonts w:ascii="Times New Roman" w:eastAsia="Calibri" w:hAnsi="Times New Roman" w:cs="Times New Roman"/>
                <w:sz w:val="24"/>
                <w:szCs w:val="24"/>
                <w:lang w:bidi="es-ES"/>
              </w:rPr>
              <w:t xml:space="preserve"> propietario, incluyendo los beneficiarios últimos con derecho de disponer del más del 5 por cien del total de votos por cada </w:t>
            </w:r>
            <w:r w:rsidR="0069455A" w:rsidRPr="0069455A">
              <w:rPr>
                <w:rFonts w:ascii="Times New Roman" w:eastAsia="Calibri" w:hAnsi="Times New Roman" w:cs="Times New Roman"/>
                <w:sz w:val="24"/>
                <w:szCs w:val="24"/>
                <w:lang w:bidi="es-ES"/>
              </w:rPr>
              <w:lastRenderedPageBreak/>
              <w:t>acción con voto, o bien las participaciones del Proveedor que componen el capital social o anónimo;</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órgano ejecutivo unipersonal (director general, director, presidente, etc.) del Proveedor;</w:t>
            </w:r>
          </w:p>
          <w:p w:rsidR="0069455A" w:rsidRPr="0069455A" w:rsidRDefault="0069455A" w:rsidP="0069455A">
            <w:pPr>
              <w:numPr>
                <w:ilvl w:val="0"/>
                <w:numId w:val="6"/>
              </w:numPr>
              <w:tabs>
                <w:tab w:val="left" w:pos="539"/>
              </w:tabs>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empresario individual.</w:t>
            </w:r>
          </w:p>
        </w:tc>
      </w:tr>
      <w:tr w:rsidR="0069455A" w:rsidRPr="0069455A" w:rsidTr="002F607F">
        <w:trPr>
          <w:trHeight w:val="20"/>
        </w:trPr>
        <w:tc>
          <w:tcPr>
            <w:tcW w:w="390" w:type="dxa"/>
            <w:tcBorders>
              <w:top w:val="single" w:sz="6" w:space="0" w:color="auto"/>
              <w:left w:val="single" w:sz="12" w:space="0" w:color="auto"/>
              <w:bottom w:val="single" w:sz="12"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numPr>
                <w:ilvl w:val="0"/>
                <w:numId w:val="1"/>
              </w:numPr>
              <w:spacing w:before="180" w:after="0" w:line="240" w:lineRule="auto"/>
              <w:rPr>
                <w:rFonts w:ascii="Times New Roman" w:hAnsi="Times New Roman" w:cs="Times New Roman"/>
                <w:color w:val="000000"/>
                <w:sz w:val="20"/>
                <w:szCs w:val="20"/>
                <w:lang w:eastAsia="ru-RU"/>
              </w:rPr>
            </w:pPr>
          </w:p>
        </w:tc>
        <w:tc>
          <w:tcPr>
            <w:tcW w:w="4487" w:type="dxa"/>
            <w:tcBorders>
              <w:top w:val="single" w:sz="6" w:space="0" w:color="auto"/>
              <w:left w:val="single" w:sz="6" w:space="0" w:color="auto"/>
              <w:bottom w:val="single" w:sz="12"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spacing w:after="18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En la actividad del Proveedor no puede haber incumplimientos de la legislación de la Federación Rusa, así como tampoco de la legislación del país donde la Compañía desarrolla o prevé desarrollar la actividad en el ámbito de prevención de la corrupción y fraude:</w:t>
            </w:r>
          </w:p>
          <w:p w:rsidR="0069455A" w:rsidRPr="0069455A" w:rsidRDefault="0069455A" w:rsidP="0069455A">
            <w:pPr>
              <w:numPr>
                <w:ilvl w:val="1"/>
                <w:numId w:val="7"/>
              </w:numPr>
              <w:spacing w:before="60" w:after="0" w:line="240" w:lineRule="auto"/>
              <w:ind w:left="567" w:hanging="397"/>
              <w:jc w:val="both"/>
              <w:rPr>
                <w:rFonts w:ascii="Times New Roman" w:hAnsi="Times New Roman" w:cs="Times New Roman"/>
                <w:color w:val="000000"/>
                <w:sz w:val="24"/>
                <w:szCs w:val="24"/>
                <w:lang w:eastAsia="ru-RU"/>
              </w:rPr>
            </w:pPr>
            <w:r w:rsidRPr="0069455A">
              <w:rPr>
                <w:rFonts w:ascii="Times New Roman" w:eastAsia="Times New Roman" w:hAnsi="Times New Roman" w:cs="Times New Roman"/>
                <w:color w:val="000000"/>
                <w:sz w:val="24"/>
                <w:szCs w:val="24"/>
                <w:lang w:bidi="es-ES"/>
              </w:rPr>
              <w:t>Convención de la Organización de Naciones Unidad contra la corrupción (adaptada en Nueva York con fecha de 31.10.2003 mediante la Resolución 58/4 en la reunión plenaria 51º de la sesión 58º de la Asamblea General de la ONU, ratificada por la Ley Federal de</w:t>
            </w:r>
            <w:r w:rsidR="00DE71BE">
              <w:rPr>
                <w:rFonts w:ascii="Times New Roman" w:eastAsia="Times New Roman" w:hAnsi="Times New Roman" w:cs="Times New Roman"/>
                <w:color w:val="000000"/>
                <w:sz w:val="24"/>
                <w:szCs w:val="24"/>
                <w:lang w:bidi="es-ES"/>
              </w:rPr>
              <w:t xml:space="preserve"> 08.03.2006 </w:t>
            </w:r>
            <w:r w:rsidR="00DE71BE">
              <w:rPr>
                <w:rFonts w:ascii="Times New Roman" w:eastAsia="Times New Roman" w:hAnsi="Times New Roman" w:cs="Times New Roman"/>
                <w:color w:val="000000"/>
                <w:sz w:val="24"/>
                <w:szCs w:val="24"/>
                <w:lang w:val="en-US" w:bidi="es-ES"/>
              </w:rPr>
              <w:t xml:space="preserve">n.º </w:t>
            </w:r>
            <w:r w:rsidRPr="0069455A">
              <w:rPr>
                <w:rFonts w:ascii="Times New Roman" w:eastAsia="Times New Roman" w:hAnsi="Times New Roman" w:cs="Times New Roman"/>
                <w:color w:val="000000"/>
                <w:sz w:val="24"/>
                <w:szCs w:val="24"/>
                <w:lang w:bidi="es-ES"/>
              </w:rPr>
              <w:t>40-FZ);</w:t>
            </w:r>
          </w:p>
          <w:p w:rsidR="0069455A" w:rsidRPr="0069455A" w:rsidRDefault="0069455A" w:rsidP="0069455A">
            <w:pPr>
              <w:numPr>
                <w:ilvl w:val="1"/>
                <w:numId w:val="7"/>
              </w:numPr>
              <w:spacing w:before="60" w:after="0" w:line="240" w:lineRule="auto"/>
              <w:ind w:left="567" w:hanging="397"/>
              <w:jc w:val="both"/>
              <w:rPr>
                <w:rFonts w:ascii="Times New Roman" w:hAnsi="Times New Roman" w:cs="Times New Roman"/>
                <w:color w:val="000000"/>
                <w:sz w:val="24"/>
                <w:szCs w:val="24"/>
                <w:lang w:eastAsia="ru-RU"/>
              </w:rPr>
            </w:pPr>
            <w:r w:rsidRPr="0069455A">
              <w:rPr>
                <w:rFonts w:ascii="Times New Roman" w:eastAsia="Times New Roman" w:hAnsi="Times New Roman" w:cs="Times New Roman"/>
                <w:color w:val="000000"/>
                <w:sz w:val="24"/>
                <w:szCs w:val="24"/>
                <w:lang w:bidi="es-ES"/>
              </w:rPr>
              <w:t>Convenio penal sobre la corrupción número 173 del Consejo de Europa hecho en Estrasburgo el 27 de enero de 1999, ratificado por</w:t>
            </w:r>
            <w:r w:rsidR="00DE71BE">
              <w:rPr>
                <w:rFonts w:ascii="Times New Roman" w:eastAsia="Times New Roman" w:hAnsi="Times New Roman" w:cs="Times New Roman"/>
                <w:color w:val="000000"/>
                <w:sz w:val="24"/>
                <w:szCs w:val="24"/>
                <w:lang w:bidi="es-ES"/>
              </w:rPr>
              <w:t xml:space="preserve"> la Ley Federal del 25.07.2006 </w:t>
            </w:r>
            <w:r w:rsidR="00DE71BE">
              <w:rPr>
                <w:rFonts w:ascii="Times New Roman" w:eastAsia="Times New Roman" w:hAnsi="Times New Roman" w:cs="Times New Roman"/>
                <w:color w:val="000000"/>
                <w:sz w:val="24"/>
                <w:szCs w:val="24"/>
                <w:lang w:val="en-US" w:bidi="es-ES"/>
              </w:rPr>
              <w:t xml:space="preserve">n.º </w:t>
            </w:r>
            <w:r w:rsidRPr="0069455A">
              <w:rPr>
                <w:rFonts w:ascii="Times New Roman" w:eastAsia="Times New Roman" w:hAnsi="Times New Roman" w:cs="Times New Roman"/>
                <w:color w:val="000000"/>
                <w:sz w:val="24"/>
                <w:szCs w:val="24"/>
                <w:lang w:bidi="es-ES"/>
              </w:rPr>
              <w:t>125-FZ);</w:t>
            </w:r>
          </w:p>
          <w:p w:rsidR="0069455A" w:rsidRPr="0069455A" w:rsidRDefault="0069455A" w:rsidP="0069455A">
            <w:pPr>
              <w:numPr>
                <w:ilvl w:val="1"/>
                <w:numId w:val="7"/>
              </w:numPr>
              <w:spacing w:before="60" w:after="0" w:line="240" w:lineRule="auto"/>
              <w:ind w:left="567" w:hanging="397"/>
              <w:jc w:val="both"/>
              <w:rPr>
                <w:rFonts w:ascii="Times New Roman" w:hAnsi="Times New Roman" w:cs="Times New Roman"/>
                <w:color w:val="000000"/>
                <w:sz w:val="24"/>
                <w:szCs w:val="24"/>
                <w:lang w:eastAsia="ru-RU"/>
              </w:rPr>
            </w:pPr>
            <w:r w:rsidRPr="0069455A">
              <w:rPr>
                <w:rFonts w:ascii="Times New Roman" w:eastAsia="Times New Roman" w:hAnsi="Times New Roman" w:cs="Times New Roman"/>
                <w:color w:val="000000"/>
                <w:sz w:val="24"/>
                <w:szCs w:val="24"/>
                <w:lang w:bidi="es-ES"/>
              </w:rPr>
              <w:t xml:space="preserve">Código Penal de la Federación Rusa; </w:t>
            </w:r>
          </w:p>
          <w:p w:rsidR="0069455A" w:rsidRPr="0069455A" w:rsidRDefault="0069455A" w:rsidP="0069455A">
            <w:pPr>
              <w:numPr>
                <w:ilvl w:val="1"/>
                <w:numId w:val="7"/>
              </w:numPr>
              <w:spacing w:before="60" w:after="0" w:line="240" w:lineRule="auto"/>
              <w:ind w:left="567" w:hanging="397"/>
              <w:jc w:val="both"/>
              <w:rPr>
                <w:rFonts w:ascii="Times New Roman" w:hAnsi="Times New Roman" w:cs="Times New Roman"/>
                <w:color w:val="000000"/>
                <w:sz w:val="24"/>
                <w:szCs w:val="24"/>
                <w:lang w:eastAsia="ru-RU"/>
              </w:rPr>
            </w:pPr>
            <w:r w:rsidRPr="0069455A">
              <w:rPr>
                <w:rFonts w:ascii="Times New Roman" w:eastAsia="Times New Roman" w:hAnsi="Times New Roman" w:cs="Times New Roman"/>
                <w:color w:val="000000"/>
                <w:sz w:val="24"/>
                <w:szCs w:val="24"/>
                <w:lang w:bidi="es-ES"/>
              </w:rPr>
              <w:lastRenderedPageBreak/>
              <w:t xml:space="preserve">Ley Federal del 25.12.2008 </w:t>
            </w:r>
            <w:r w:rsidR="00DE71BE">
              <w:rPr>
                <w:rFonts w:ascii="Times New Roman" w:eastAsia="Times New Roman" w:hAnsi="Times New Roman" w:cs="Times New Roman"/>
                <w:color w:val="000000"/>
                <w:sz w:val="24"/>
                <w:szCs w:val="24"/>
                <w:lang w:val="en-US" w:bidi="es-ES"/>
              </w:rPr>
              <w:t xml:space="preserve">n.º </w:t>
            </w:r>
            <w:r w:rsidRPr="0069455A">
              <w:rPr>
                <w:rFonts w:ascii="Times New Roman" w:eastAsia="Times New Roman" w:hAnsi="Times New Roman" w:cs="Times New Roman"/>
                <w:color w:val="000000"/>
                <w:sz w:val="24"/>
                <w:szCs w:val="24"/>
                <w:lang w:bidi="es-ES"/>
              </w:rPr>
              <w:t>273-FZ «Sobre la prevención de la corrupción»;</w:t>
            </w:r>
          </w:p>
          <w:p w:rsidR="0069455A" w:rsidRPr="0069455A" w:rsidRDefault="00DE71BE" w:rsidP="0069455A">
            <w:pPr>
              <w:numPr>
                <w:ilvl w:val="1"/>
                <w:numId w:val="7"/>
              </w:numPr>
              <w:spacing w:before="60" w:after="0" w:line="240" w:lineRule="auto"/>
              <w:ind w:left="567" w:hanging="397"/>
              <w:jc w:val="both"/>
              <w:rPr>
                <w:rFonts w:ascii="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bidi="es-ES"/>
              </w:rPr>
              <w:t xml:space="preserve">Ley Federal del 07.08.2001 </w:t>
            </w:r>
            <w:r>
              <w:rPr>
                <w:rFonts w:ascii="Times New Roman" w:eastAsia="Times New Roman" w:hAnsi="Times New Roman" w:cs="Times New Roman"/>
                <w:color w:val="000000"/>
                <w:sz w:val="24"/>
                <w:szCs w:val="24"/>
                <w:lang w:val="en-US" w:bidi="es-ES"/>
              </w:rPr>
              <w:t xml:space="preserve">n.º </w:t>
            </w:r>
            <w:r w:rsidR="0069455A" w:rsidRPr="0069455A">
              <w:rPr>
                <w:rFonts w:ascii="Times New Roman" w:eastAsia="Times New Roman" w:hAnsi="Times New Roman" w:cs="Times New Roman"/>
                <w:color w:val="000000"/>
                <w:sz w:val="24"/>
                <w:szCs w:val="24"/>
                <w:lang w:bidi="es-ES"/>
              </w:rPr>
              <w:t>115-FZ «Sobre la prevención de la legalización (lavado) de ingresos obtenidos mediante actos delictivos y financiación de terrorismo»;</w:t>
            </w:r>
          </w:p>
          <w:p w:rsidR="0069455A" w:rsidRPr="0069455A" w:rsidRDefault="0069455A" w:rsidP="0069455A">
            <w:pPr>
              <w:numPr>
                <w:ilvl w:val="1"/>
                <w:numId w:val="7"/>
              </w:numPr>
              <w:spacing w:before="60" w:after="0" w:line="240" w:lineRule="auto"/>
              <w:ind w:left="567" w:hanging="397"/>
              <w:jc w:val="both"/>
              <w:rPr>
                <w:rFonts w:ascii="Times New Roman" w:hAnsi="Times New Roman" w:cs="Times New Roman"/>
                <w:color w:val="000000"/>
                <w:sz w:val="24"/>
                <w:szCs w:val="24"/>
                <w:lang w:eastAsia="ru-RU"/>
              </w:rPr>
            </w:pPr>
            <w:r w:rsidRPr="0069455A">
              <w:rPr>
                <w:rFonts w:ascii="Times New Roman" w:eastAsia="Times New Roman" w:hAnsi="Times New Roman" w:cs="Times New Roman"/>
                <w:color w:val="000000"/>
                <w:sz w:val="24"/>
                <w:szCs w:val="24"/>
                <w:lang w:bidi="es-ES"/>
              </w:rPr>
              <w:t xml:space="preserve">Decreto del Presidente de la Federación Rusa del 13.04.2010 </w:t>
            </w:r>
            <w:r w:rsidR="00DE71BE">
              <w:rPr>
                <w:rFonts w:ascii="Times New Roman" w:eastAsia="Times New Roman" w:hAnsi="Times New Roman" w:cs="Times New Roman"/>
                <w:color w:val="000000"/>
                <w:sz w:val="24"/>
                <w:szCs w:val="24"/>
                <w:lang w:val="en-US" w:bidi="es-ES"/>
              </w:rPr>
              <w:t xml:space="preserve">n.º </w:t>
            </w:r>
            <w:r w:rsidRPr="0069455A">
              <w:rPr>
                <w:rFonts w:ascii="Times New Roman" w:eastAsia="Times New Roman" w:hAnsi="Times New Roman" w:cs="Times New Roman"/>
                <w:color w:val="000000"/>
                <w:sz w:val="24"/>
                <w:szCs w:val="24"/>
                <w:lang w:bidi="es-ES"/>
              </w:rPr>
              <w:t>460 «Sobre la estrategia nacional de lucha contra la corrupción y Plan Nacional de lucha</w:t>
            </w:r>
            <w:r w:rsidR="00DE71BE">
              <w:rPr>
                <w:rFonts w:ascii="Times New Roman" w:eastAsia="Times New Roman" w:hAnsi="Times New Roman" w:cs="Times New Roman"/>
                <w:color w:val="000000"/>
                <w:sz w:val="24"/>
                <w:szCs w:val="24"/>
                <w:lang w:bidi="es-ES"/>
              </w:rPr>
              <w:t xml:space="preserve"> contra la corrupción para 2010</w:t>
            </w:r>
            <w:r w:rsidR="00DE71BE" w:rsidRPr="00DE71BE">
              <w:rPr>
                <w:rFonts w:ascii="Times New Roman" w:eastAsia="Times New Roman" w:hAnsi="Times New Roman" w:cs="Times New Roman"/>
                <w:color w:val="000000"/>
                <w:sz w:val="24"/>
                <w:szCs w:val="24"/>
                <w:lang w:val="en-US" w:bidi="es-ES"/>
              </w:rPr>
              <w:t>–</w:t>
            </w:r>
            <w:r w:rsidRPr="0069455A">
              <w:rPr>
                <w:rFonts w:ascii="Times New Roman" w:eastAsia="Times New Roman" w:hAnsi="Times New Roman" w:cs="Times New Roman"/>
                <w:color w:val="000000"/>
                <w:sz w:val="24"/>
                <w:szCs w:val="24"/>
                <w:lang w:bidi="es-ES"/>
              </w:rPr>
              <w:t>2011»;</w:t>
            </w:r>
          </w:p>
          <w:p w:rsidR="0069455A" w:rsidRPr="0069455A" w:rsidRDefault="0069455A" w:rsidP="0069455A">
            <w:pPr>
              <w:numPr>
                <w:ilvl w:val="1"/>
                <w:numId w:val="7"/>
              </w:numPr>
              <w:spacing w:before="60" w:after="0" w:line="240" w:lineRule="auto"/>
              <w:ind w:left="567" w:hanging="397"/>
              <w:jc w:val="both"/>
              <w:rPr>
                <w:rFonts w:ascii="Times New Roman" w:hAnsi="Times New Roman" w:cs="Times New Roman"/>
                <w:color w:val="000000"/>
                <w:sz w:val="24"/>
                <w:szCs w:val="24"/>
                <w:lang w:eastAsia="ru-RU"/>
              </w:rPr>
            </w:pPr>
            <w:r w:rsidRPr="0069455A">
              <w:rPr>
                <w:rFonts w:ascii="Times New Roman" w:eastAsia="Times New Roman" w:hAnsi="Times New Roman" w:cs="Times New Roman"/>
                <w:color w:val="000000"/>
                <w:sz w:val="24"/>
                <w:szCs w:val="24"/>
                <w:lang w:bidi="es-ES"/>
              </w:rPr>
              <w:t>mandamientos de otras normativas legales y actas reguladoras en el ámbito de prevención de la corrupción y fraude.</w:t>
            </w:r>
          </w:p>
        </w:tc>
        <w:tc>
          <w:tcPr>
            <w:tcW w:w="7087" w:type="dxa"/>
            <w:tcBorders>
              <w:top w:val="single" w:sz="6" w:space="0" w:color="auto"/>
              <w:left w:val="single" w:sz="6" w:space="0" w:color="auto"/>
              <w:bottom w:val="single" w:sz="12" w:space="0" w:color="auto"/>
              <w:right w:val="single" w:sz="6" w:space="0" w:color="auto"/>
            </w:tcBorders>
            <w:shd w:val="clear" w:color="auto" w:fill="auto"/>
            <w:tcMar>
              <w:top w:w="57" w:type="dxa"/>
              <w:left w:w="57" w:type="dxa"/>
              <w:bottom w:w="57" w:type="dxa"/>
              <w:right w:w="57" w:type="dxa"/>
            </w:tcMar>
          </w:tcPr>
          <w:p w:rsidR="0069455A" w:rsidRPr="0069455A" w:rsidRDefault="0069455A" w:rsidP="0069455A">
            <w:pPr>
              <w:spacing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lastRenderedPageBreak/>
              <w:t>El Proveedor no puede formar parte de la lista de organizaciones y personas físicas en relación con las cuales existan evidencias sobre su participación den la actividad extremista o terrorismo, a tenor de la Ley Fed</w:t>
            </w:r>
            <w:r w:rsidR="00DE71BE">
              <w:rPr>
                <w:rFonts w:ascii="Times New Roman" w:eastAsia="Calibri" w:hAnsi="Times New Roman" w:cs="Times New Roman"/>
                <w:sz w:val="24"/>
                <w:szCs w:val="24"/>
                <w:lang w:bidi="es-ES"/>
              </w:rPr>
              <w:t xml:space="preserve">eral de 07.08.2011 </w:t>
            </w:r>
            <w:r w:rsidR="00DE71BE">
              <w:rPr>
                <w:rFonts w:ascii="Times New Roman" w:eastAsia="Calibri" w:hAnsi="Times New Roman" w:cs="Times New Roman"/>
                <w:sz w:val="24"/>
                <w:szCs w:val="24"/>
                <w:lang w:val="en-US" w:bidi="es-ES"/>
              </w:rPr>
              <w:t xml:space="preserve">n.º </w:t>
            </w:r>
            <w:r w:rsidRPr="0069455A">
              <w:rPr>
                <w:rFonts w:ascii="Times New Roman" w:eastAsia="Calibri" w:hAnsi="Times New Roman" w:cs="Times New Roman"/>
                <w:sz w:val="24"/>
                <w:szCs w:val="24"/>
                <w:lang w:bidi="es-ES"/>
              </w:rPr>
              <w:t>115-FZ «Sobre la prevención de la legalización (lavado) de ingresos obtenidos mediante actos delictivos y financiación de terrorismo», incluyendo el hecho que el Proveedor no debe tener relaciones laborales con las personas arriba mencionadas.</w:t>
            </w:r>
          </w:p>
        </w:tc>
        <w:tc>
          <w:tcPr>
            <w:tcW w:w="3756" w:type="dxa"/>
            <w:tcBorders>
              <w:top w:val="single" w:sz="6" w:space="0" w:color="auto"/>
              <w:left w:val="single" w:sz="6" w:space="0" w:color="auto"/>
              <w:bottom w:val="single" w:sz="12" w:space="0" w:color="auto"/>
              <w:right w:val="single" w:sz="12" w:space="0" w:color="auto"/>
            </w:tcBorders>
            <w:tcMar>
              <w:top w:w="57" w:type="dxa"/>
              <w:left w:w="57" w:type="dxa"/>
              <w:bottom w:w="57" w:type="dxa"/>
              <w:right w:w="57" w:type="dxa"/>
            </w:tcMar>
          </w:tcPr>
          <w:p w:rsidR="0069455A" w:rsidRPr="0069455A" w:rsidRDefault="0069455A" w:rsidP="0069455A">
            <w:pPr>
              <w:spacing w:after="18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No conforme:</w:t>
            </w:r>
          </w:p>
          <w:p w:rsidR="0069455A" w:rsidRPr="0069455A" w:rsidRDefault="0069455A" w:rsidP="0069455A">
            <w:pPr>
              <w:numPr>
                <w:ilvl w:val="0"/>
                <w:numId w:val="8"/>
              </w:numPr>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existen indicios de fraude corporativo y acciones de corrupción;</w:t>
            </w:r>
          </w:p>
          <w:p w:rsidR="0069455A" w:rsidRPr="0069455A" w:rsidRDefault="0069455A" w:rsidP="0069455A">
            <w:pPr>
              <w:numPr>
                <w:ilvl w:val="0"/>
                <w:numId w:val="8"/>
              </w:numPr>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Proveedor potencial está incluido en el listado de organizaciones y personas físicas en relación con las cuales existe información o evidencias de vínculo con la actividad extremista o terrorismo;</w:t>
            </w:r>
          </w:p>
          <w:p w:rsidR="0069455A" w:rsidRPr="0069455A" w:rsidRDefault="0069455A" w:rsidP="0069455A">
            <w:pPr>
              <w:numPr>
                <w:ilvl w:val="0"/>
                <w:numId w:val="8"/>
              </w:numPr>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proveedor Potencial mantiene relaciones laborales con la persona(as) física(s), incluidas en la lista de personas de conformidad con la</w:t>
            </w:r>
            <w:r w:rsidR="00DE71BE">
              <w:rPr>
                <w:rFonts w:ascii="Times New Roman" w:eastAsia="Calibri" w:hAnsi="Times New Roman" w:cs="Times New Roman"/>
                <w:sz w:val="24"/>
                <w:szCs w:val="24"/>
                <w:lang w:bidi="es-ES"/>
              </w:rPr>
              <w:t xml:space="preserve"> Ley Federal de 07.08.2011 </w:t>
            </w:r>
            <w:r w:rsidR="00DE71BE">
              <w:rPr>
                <w:rFonts w:ascii="Times New Roman" w:eastAsia="Calibri" w:hAnsi="Times New Roman" w:cs="Times New Roman"/>
                <w:sz w:val="24"/>
                <w:szCs w:val="24"/>
                <w:lang w:bidi="es-ES"/>
              </w:rPr>
              <w:br/>
            </w:r>
            <w:r w:rsidR="00DE71BE">
              <w:rPr>
                <w:rFonts w:ascii="Times New Roman" w:eastAsia="Calibri" w:hAnsi="Times New Roman" w:cs="Times New Roman"/>
                <w:sz w:val="24"/>
                <w:szCs w:val="24"/>
                <w:lang w:val="en-US" w:bidi="es-ES"/>
              </w:rPr>
              <w:t xml:space="preserve">n.º </w:t>
            </w:r>
            <w:r w:rsidRPr="0069455A">
              <w:rPr>
                <w:rFonts w:ascii="Times New Roman" w:eastAsia="Calibri" w:hAnsi="Times New Roman" w:cs="Times New Roman"/>
                <w:sz w:val="24"/>
                <w:szCs w:val="24"/>
                <w:lang w:bidi="es-ES"/>
              </w:rPr>
              <w:t xml:space="preserve">115-FZ «Sobre la prevención de la legalización (lavado) de ingresos obtenidos </w:t>
            </w:r>
            <w:r w:rsidRPr="0069455A">
              <w:rPr>
                <w:rFonts w:ascii="Times New Roman" w:eastAsia="Calibri" w:hAnsi="Times New Roman" w:cs="Times New Roman"/>
                <w:sz w:val="24"/>
                <w:szCs w:val="24"/>
                <w:lang w:bidi="es-ES"/>
              </w:rPr>
              <w:lastRenderedPageBreak/>
              <w:t>mediante actos delictivos y financiación de terrorismo».</w:t>
            </w:r>
          </w:p>
          <w:p w:rsidR="0069455A" w:rsidRPr="0069455A" w:rsidRDefault="0069455A" w:rsidP="0069455A">
            <w:pPr>
              <w:spacing w:before="120" w:after="0" w:line="240" w:lineRule="auto"/>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 xml:space="preserve">Conforme: </w:t>
            </w:r>
          </w:p>
          <w:p w:rsidR="0069455A" w:rsidRPr="0069455A" w:rsidRDefault="0069455A" w:rsidP="0069455A">
            <w:pPr>
              <w:numPr>
                <w:ilvl w:val="0"/>
                <w:numId w:val="10"/>
              </w:numPr>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no existen indicios de fraude corporativo y acciones de corrupción;</w:t>
            </w:r>
          </w:p>
          <w:p w:rsidR="0069455A" w:rsidRPr="0069455A" w:rsidRDefault="0069455A" w:rsidP="0069455A">
            <w:pPr>
              <w:numPr>
                <w:ilvl w:val="0"/>
                <w:numId w:val="10"/>
              </w:numPr>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el Proveedor potencial no está incluido en el listado de organizaciones y personas físicas en relación con las cuales existe información o evidencias de vínculo con la actividad extremista o terrorismo;</w:t>
            </w:r>
          </w:p>
          <w:p w:rsidR="0069455A" w:rsidRPr="0069455A" w:rsidRDefault="0069455A" w:rsidP="0069455A">
            <w:pPr>
              <w:numPr>
                <w:ilvl w:val="0"/>
                <w:numId w:val="10"/>
              </w:numPr>
              <w:spacing w:before="60" w:after="0" w:line="240" w:lineRule="auto"/>
              <w:ind w:left="567" w:hanging="397"/>
              <w:jc w:val="both"/>
              <w:rPr>
                <w:rFonts w:ascii="Times New Roman" w:eastAsia="Calibri" w:hAnsi="Times New Roman" w:cs="Times New Roman"/>
                <w:sz w:val="24"/>
                <w:szCs w:val="24"/>
              </w:rPr>
            </w:pPr>
            <w:r w:rsidRPr="0069455A">
              <w:rPr>
                <w:rFonts w:ascii="Times New Roman" w:eastAsia="Calibri" w:hAnsi="Times New Roman" w:cs="Times New Roman"/>
                <w:sz w:val="24"/>
                <w:szCs w:val="24"/>
                <w:lang w:bidi="es-ES"/>
              </w:rPr>
              <w:t xml:space="preserve">el proveedor Potencial no mantiene relaciones laborales con la persona(as) física(s), incluidas en la lista de personas de conformidad con la </w:t>
            </w:r>
            <w:r w:rsidR="00DE71BE">
              <w:rPr>
                <w:rFonts w:ascii="Times New Roman" w:eastAsia="Calibri" w:hAnsi="Times New Roman" w:cs="Times New Roman"/>
                <w:sz w:val="24"/>
                <w:szCs w:val="24"/>
                <w:lang w:bidi="es-ES"/>
              </w:rPr>
              <w:t xml:space="preserve">Ley Federal de 07.08.2011 </w:t>
            </w:r>
            <w:r w:rsidR="00DE71BE">
              <w:rPr>
                <w:rFonts w:ascii="Times New Roman" w:eastAsia="Calibri" w:hAnsi="Times New Roman" w:cs="Times New Roman"/>
                <w:sz w:val="24"/>
                <w:szCs w:val="24"/>
                <w:lang w:bidi="es-ES"/>
              </w:rPr>
              <w:br/>
            </w:r>
            <w:r w:rsidR="00DE71BE">
              <w:rPr>
                <w:rFonts w:ascii="Times New Roman" w:eastAsia="Calibri" w:hAnsi="Times New Roman" w:cs="Times New Roman"/>
                <w:sz w:val="24"/>
                <w:szCs w:val="24"/>
                <w:lang w:val="en-US" w:bidi="es-ES"/>
              </w:rPr>
              <w:t xml:space="preserve">n.º </w:t>
            </w:r>
            <w:r w:rsidRPr="0069455A">
              <w:rPr>
                <w:rFonts w:ascii="Times New Roman" w:eastAsia="Calibri" w:hAnsi="Times New Roman" w:cs="Times New Roman"/>
                <w:sz w:val="24"/>
                <w:szCs w:val="24"/>
                <w:lang w:bidi="es-ES"/>
              </w:rPr>
              <w:t>115-FZ «Sobre la prevención de la legalización (lavado) de ingresos obtenidos mediante actos delictivos y financiación de terrorismo».</w:t>
            </w:r>
          </w:p>
        </w:tc>
      </w:tr>
    </w:tbl>
    <w:p w:rsidR="0069455A" w:rsidRPr="0069455A" w:rsidRDefault="0069455A" w:rsidP="0069455A">
      <w:pPr>
        <w:widowControl w:val="0"/>
        <w:spacing w:before="180" w:after="180" w:line="240" w:lineRule="auto"/>
        <w:jc w:val="both"/>
        <w:rPr>
          <w:rFonts w:ascii="Times New Roman" w:eastAsia="Times New Roman" w:hAnsi="Times New Roman" w:cs="Times New Roman"/>
          <w:sz w:val="24"/>
          <w:szCs w:val="24"/>
          <w:lang w:eastAsia="ru-RU"/>
        </w:rPr>
      </w:pPr>
    </w:p>
    <w:p w:rsidR="00A51CBB" w:rsidRDefault="00A51CBB"/>
    <w:sectPr w:rsidR="00A51CBB" w:rsidSect="00A42EF1">
      <w:pgSz w:w="16838" w:h="11906" w:orient="landscape"/>
      <w:pgMar w:top="1021" w:right="567" w:bottom="1247" w:left="510"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000" w:rsidRDefault="004E4000" w:rsidP="0069455A">
      <w:pPr>
        <w:spacing w:after="0" w:line="240" w:lineRule="auto"/>
      </w:pPr>
      <w:r>
        <w:separator/>
      </w:r>
    </w:p>
  </w:endnote>
  <w:endnote w:type="continuationSeparator" w:id="0">
    <w:p w:rsidR="004E4000" w:rsidRDefault="004E4000" w:rsidP="00694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000" w:rsidRDefault="004E4000" w:rsidP="0069455A">
      <w:pPr>
        <w:spacing w:after="0" w:line="240" w:lineRule="auto"/>
      </w:pPr>
      <w:r>
        <w:separator/>
      </w:r>
    </w:p>
  </w:footnote>
  <w:footnote w:type="continuationSeparator" w:id="0">
    <w:p w:rsidR="004E4000" w:rsidRDefault="004E4000" w:rsidP="0069455A">
      <w:pPr>
        <w:spacing w:after="0" w:line="240" w:lineRule="auto"/>
      </w:pPr>
      <w:r>
        <w:continuationSeparator/>
      </w:r>
    </w:p>
  </w:footnote>
  <w:footnote w:id="1">
    <w:p w:rsidR="0069455A" w:rsidRPr="008A7B3D" w:rsidRDefault="0069455A" w:rsidP="0069455A">
      <w:pPr>
        <w:pStyle w:val="a3"/>
        <w:jc w:val="both"/>
        <w:rPr>
          <w:rFonts w:ascii="Arial" w:hAnsi="Arial" w:cs="Arial"/>
          <w:sz w:val="16"/>
          <w:szCs w:val="16"/>
        </w:rPr>
      </w:pPr>
      <w:r w:rsidRPr="008A7B3D">
        <w:rPr>
          <w:rStyle w:val="a5"/>
          <w:rFonts w:ascii="Arial" w:eastAsia="Arial" w:hAnsi="Arial" w:cs="Arial"/>
          <w:sz w:val="16"/>
          <w:szCs w:val="16"/>
          <w:lang w:bidi="es-ES"/>
        </w:rPr>
        <w:footnoteRef/>
      </w:r>
      <w:r w:rsidRPr="008A7B3D">
        <w:rPr>
          <w:rFonts w:ascii="Arial" w:eastAsia="Arial" w:hAnsi="Arial" w:cs="Arial"/>
          <w:sz w:val="16"/>
          <w:szCs w:val="16"/>
          <w:lang w:bidi="es-ES"/>
        </w:rPr>
        <w:t xml:space="preserve"> Para las altas nuevas de Proveedores potenciales se permite presentar la Declaración de conformidad con los criterios de pequeña y mediana empresa, según el modelo establecido en el Anexo a la disposición del gobierno de la Federación Rusa del 11.12.2014 </w:t>
      </w:r>
      <w:r w:rsidR="00DE71BE">
        <w:rPr>
          <w:rFonts w:ascii="Arial" w:eastAsia="Arial" w:hAnsi="Arial" w:cs="Arial"/>
          <w:sz w:val="16"/>
          <w:szCs w:val="16"/>
          <w:lang w:bidi="es-ES"/>
        </w:rPr>
        <w:t xml:space="preserve">n.º </w:t>
      </w:r>
      <w:r w:rsidRPr="008A7B3D">
        <w:rPr>
          <w:rFonts w:ascii="Arial" w:eastAsia="Arial" w:hAnsi="Arial" w:cs="Arial"/>
          <w:sz w:val="16"/>
          <w:szCs w:val="16"/>
          <w:lang w:bidi="es-ES"/>
        </w:rPr>
        <w:t>1352 «Sobre la participación de la pequeña y mediana empresa en la adquisición de bienes, obras y servicios para determinadas personas jurídicas».</w:t>
      </w:r>
    </w:p>
  </w:footnote>
  <w:footnote w:id="2">
    <w:p w:rsidR="0069455A" w:rsidRPr="008A7B3D" w:rsidRDefault="0069455A" w:rsidP="0069455A">
      <w:pPr>
        <w:pStyle w:val="a3"/>
        <w:rPr>
          <w:rFonts w:ascii="Arial" w:hAnsi="Arial" w:cs="Arial"/>
          <w:sz w:val="16"/>
          <w:szCs w:val="16"/>
        </w:rPr>
      </w:pPr>
      <w:r w:rsidRPr="008A7B3D">
        <w:rPr>
          <w:rStyle w:val="a5"/>
          <w:rFonts w:ascii="Arial" w:eastAsia="Arial" w:hAnsi="Arial" w:cs="Arial"/>
          <w:sz w:val="16"/>
          <w:szCs w:val="16"/>
          <w:lang w:bidi="es-ES"/>
        </w:rPr>
        <w:footnoteRef/>
      </w:r>
      <w:r w:rsidRPr="008A7B3D">
        <w:rPr>
          <w:rFonts w:ascii="Arial" w:eastAsia="Arial" w:hAnsi="Arial" w:cs="Arial"/>
          <w:sz w:val="16"/>
          <w:szCs w:val="16"/>
          <w:lang w:bidi="es-ES"/>
        </w:rPr>
        <w:t xml:space="preserve"> El documento que notifica la conformidad con los requerimientos es la Notificación (copia) emitida por el Contratante o Sociedad Anónima Pública «NK Rosneft».</w:t>
      </w:r>
    </w:p>
  </w:footnote>
  <w:footnote w:id="3">
    <w:p w:rsidR="0069455A" w:rsidRDefault="0069455A" w:rsidP="0069455A">
      <w:pPr>
        <w:jc w:val="both"/>
      </w:pPr>
      <w:r w:rsidRPr="00377B16">
        <w:rPr>
          <w:rStyle w:val="a5"/>
          <w:rFonts w:ascii="Arial" w:eastAsia="Arial" w:hAnsi="Arial" w:cs="Arial"/>
          <w:sz w:val="18"/>
          <w:szCs w:val="18"/>
          <w:lang w:bidi="es-ES"/>
        </w:rPr>
        <w:footnoteRef/>
      </w:r>
      <w:r>
        <w:rPr>
          <w:rFonts w:ascii="Arial" w:eastAsia="Arial" w:hAnsi="Arial" w:cs="Arial"/>
          <w:sz w:val="18"/>
          <w:szCs w:val="18"/>
          <w:lang w:bidi="es-ES"/>
        </w:rPr>
        <w:t xml:space="preserve"> </w:t>
      </w:r>
      <w:r w:rsidRPr="00D9663F">
        <w:rPr>
          <w:rFonts w:ascii="Arial" w:eastAsia="Arial" w:hAnsi="Arial" w:cs="Arial"/>
          <w:sz w:val="16"/>
          <w:szCs w:val="16"/>
          <w:lang w:bidi="es-ES"/>
        </w:rPr>
        <w:t>En relación con los Proveedores potenciales que son Sociedades Anónimas Públicas, cuyas acciones cotizan en la bolsa o el número de accionistas supera 50, la información se considerará presentada completamente siempre y cuando dichos datos contengan la información sobre accionistas que poseen acci</w:t>
      </w:r>
      <w:r w:rsidR="001C7375">
        <w:rPr>
          <w:rFonts w:ascii="Arial" w:eastAsia="Arial" w:hAnsi="Arial" w:cs="Arial"/>
          <w:sz w:val="16"/>
          <w:szCs w:val="16"/>
          <w:lang w:bidi="es-ES"/>
        </w:rPr>
        <w:t>ones por el valor superior al 5</w:t>
      </w:r>
      <w:r w:rsidR="001C7375" w:rsidRPr="001C7375">
        <w:rPr>
          <w:rFonts w:ascii="Arial" w:eastAsia="Arial" w:hAnsi="Arial" w:cs="Arial"/>
          <w:sz w:val="16"/>
          <w:szCs w:val="16"/>
          <w:lang w:val="en-US" w:bidi="es-ES"/>
        </w:rPr>
        <w:t> </w:t>
      </w:r>
      <w:r w:rsidRPr="00D9663F">
        <w:rPr>
          <w:rFonts w:ascii="Arial" w:eastAsia="Arial" w:hAnsi="Arial" w:cs="Arial"/>
          <w:sz w:val="16"/>
          <w:szCs w:val="16"/>
          <w:lang w:bidi="es-ES"/>
        </w:rPr>
        <w:t>%. Los comprobantes relacionados con accionistas (beneficiarios) de dicha empresa pueden ser presentados en forma de un enlace directo a una fuente pública de información, mediante el cual dicha información ha sido divulgada siguiendo el orden establecido por la ley. En relación con los accionistas (beneficiarios) que poseen acciones por valor inferior al 5</w:t>
      </w:r>
      <w:r w:rsidR="001C7375" w:rsidRPr="001C7375">
        <w:rPr>
          <w:rFonts w:ascii="Arial" w:eastAsia="Arial" w:hAnsi="Arial" w:cs="Arial"/>
          <w:sz w:val="16"/>
          <w:szCs w:val="16"/>
          <w:lang w:val="en-US" w:bidi="es-ES"/>
        </w:rPr>
        <w:t> </w:t>
      </w:r>
      <w:r w:rsidRPr="00D9663F">
        <w:rPr>
          <w:rFonts w:ascii="Arial" w:eastAsia="Arial" w:hAnsi="Arial" w:cs="Arial"/>
          <w:sz w:val="16"/>
          <w:szCs w:val="16"/>
          <w:lang w:bidi="es-ES"/>
        </w:rPr>
        <w:t>%, se permite indicar datos sobre el número de dichos accionistas.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C3D67"/>
    <w:multiLevelType w:val="multilevel"/>
    <w:tmpl w:val="8FB489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55A"/>
    <w:rsid w:val="000E1EDE"/>
    <w:rsid w:val="001C7375"/>
    <w:rsid w:val="00224CC9"/>
    <w:rsid w:val="004E4000"/>
    <w:rsid w:val="0069455A"/>
    <w:rsid w:val="00A51CBB"/>
    <w:rsid w:val="00C94C12"/>
    <w:rsid w:val="00DE7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9455A"/>
    <w:pPr>
      <w:spacing w:after="0" w:line="240" w:lineRule="auto"/>
    </w:pPr>
    <w:rPr>
      <w:sz w:val="20"/>
      <w:szCs w:val="20"/>
    </w:rPr>
  </w:style>
  <w:style w:type="character" w:customStyle="1" w:styleId="a4">
    <w:name w:val="Текст сноски Знак"/>
    <w:basedOn w:val="a0"/>
    <w:link w:val="a3"/>
    <w:uiPriority w:val="99"/>
    <w:semiHidden/>
    <w:rsid w:val="0069455A"/>
    <w:rPr>
      <w:sz w:val="20"/>
      <w:szCs w:val="20"/>
    </w:rPr>
  </w:style>
  <w:style w:type="character" w:styleId="a5">
    <w:name w:val="footnote reference"/>
    <w:uiPriority w:val="99"/>
    <w:rsid w:val="006945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9455A"/>
    <w:pPr>
      <w:spacing w:after="0" w:line="240" w:lineRule="auto"/>
    </w:pPr>
    <w:rPr>
      <w:sz w:val="20"/>
      <w:szCs w:val="20"/>
    </w:rPr>
  </w:style>
  <w:style w:type="character" w:customStyle="1" w:styleId="a4">
    <w:name w:val="Текст сноски Знак"/>
    <w:basedOn w:val="a0"/>
    <w:link w:val="a3"/>
    <w:uiPriority w:val="99"/>
    <w:semiHidden/>
    <w:rsid w:val="0069455A"/>
    <w:rPr>
      <w:sz w:val="20"/>
      <w:szCs w:val="20"/>
    </w:rPr>
  </w:style>
  <w:style w:type="character" w:styleId="a5">
    <w:name w:val="footnote reference"/>
    <w:uiPriority w:val="99"/>
    <w:rsid w:val="006945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hyperlink" Target="http://kad.arbitr.ru/" TargetMode="External"/><Relationship Id="rId18" Type="http://schemas.openxmlformats.org/officeDocument/2006/relationships/hyperlink" Target="http://kad.arbitr.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vestnik-gosreg.ru/publ/fz83/" TargetMode="External"/><Relationship Id="rId17" Type="http://schemas.openxmlformats.org/officeDocument/2006/relationships/hyperlink" Target="https://service.nalog.ru/svl.do" TargetMode="External"/><Relationship Id="rId2" Type="http://schemas.openxmlformats.org/officeDocument/2006/relationships/styles" Target="styles.xml"/><Relationship Id="rId16" Type="http://schemas.openxmlformats.org/officeDocument/2006/relationships/hyperlink" Target="https://service.nalog.ru/disfind.do"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estnik-gosreg.ru/publ/vgr/" TargetMode="External"/><Relationship Id="rId5" Type="http://schemas.openxmlformats.org/officeDocument/2006/relationships/webSettings" Target="webSettings.xml"/><Relationship Id="rId15" Type="http://schemas.openxmlformats.org/officeDocument/2006/relationships/hyperlink" Target="https://service.nalog.ru/disfind.do" TargetMode="External"/><Relationship Id="rId10" Type="http://schemas.openxmlformats.org/officeDocument/2006/relationships/hyperlink" Target="http://zakupk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se.garant.ru/70819336/" TargetMode="External"/><Relationship Id="rId14" Type="http://schemas.openxmlformats.org/officeDocument/2006/relationships/hyperlink" Target="http://www.vestnik-gosreg.ru/publ/fz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2396</Words>
  <Characters>13661</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16025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Борисычева Наталья Алексеевна</dc:creator>
  <cp:keywords/>
  <dc:description/>
  <cp:lastModifiedBy>Holysinx</cp:lastModifiedBy>
  <cp:revision>2</cp:revision>
  <dcterms:created xsi:type="dcterms:W3CDTF">2022-04-19T09:26:00Z</dcterms:created>
  <dcterms:modified xsi:type="dcterms:W3CDTF">2022-04-22T08:56:00Z</dcterms:modified>
</cp:coreProperties>
</file>